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C4" w:rsidRPr="00E44C4A" w:rsidRDefault="00611267" w:rsidP="003D08BF">
      <w:pPr>
        <w:tabs>
          <w:tab w:val="left" w:pos="0"/>
        </w:tabs>
        <w:spacing w:after="0" w:line="276" w:lineRule="auto"/>
        <w:jc w:val="center"/>
        <w:rPr>
          <w:rFonts w:ascii="Sylfaen" w:hAnsi="Sylfaen" w:cstheme="minorHAnsi"/>
          <w:b/>
          <w:bCs/>
          <w:noProof/>
        </w:rPr>
      </w:pPr>
      <w:r w:rsidRPr="00E44C4A">
        <w:rPr>
          <w:rFonts w:ascii="Sylfaen" w:hAnsi="Sylfaen" w:cstheme="minorHAnsi"/>
          <w:b/>
          <w:bCs/>
          <w:noProof/>
        </w:rPr>
        <w:t xml:space="preserve">ინფორმაცია </w:t>
      </w:r>
    </w:p>
    <w:p w:rsidR="003D08BF" w:rsidRPr="00E44C4A" w:rsidRDefault="00C64D86" w:rsidP="003D08BF">
      <w:pPr>
        <w:tabs>
          <w:tab w:val="left" w:pos="0"/>
        </w:tabs>
        <w:spacing w:after="0" w:line="276" w:lineRule="auto"/>
        <w:jc w:val="center"/>
        <w:rPr>
          <w:rFonts w:ascii="Sylfaen" w:hAnsi="Sylfaen" w:cstheme="minorHAnsi"/>
          <w:b/>
          <w:bCs/>
          <w:noProof/>
        </w:rPr>
      </w:pPr>
      <w:r w:rsidRPr="00E44C4A">
        <w:rPr>
          <w:rFonts w:ascii="Sylfaen" w:hAnsi="Sylfaen" w:cstheme="minorHAnsi"/>
          <w:b/>
          <w:bCs/>
          <w:noProof/>
        </w:rPr>
        <w:t>„საქართველოს 2022 წლის სახელმწიფო ბიუჯეტის შესახებ“ საქართველოს კანონის პროექტისა და „ქვეყნის ძირითადი მონაცემები და მიმართულებები 2022-2025 წლებისათვის“ დოკუმენტის გადამუშავებულ ვარიანტებზე</w:t>
      </w:r>
      <w:r w:rsidRPr="00E44C4A">
        <w:rPr>
          <w:rFonts w:ascii="Sylfaen" w:hAnsi="Sylfaen" w:cstheme="minorHAnsi"/>
          <w:b/>
          <w:bCs/>
          <w:noProof/>
        </w:rPr>
        <w:cr/>
      </w:r>
      <w:r w:rsidR="00F14744" w:rsidRPr="00E44C4A">
        <w:rPr>
          <w:rFonts w:ascii="Sylfaen" w:hAnsi="Sylfaen" w:cstheme="minorHAnsi"/>
          <w:b/>
          <w:bCs/>
          <w:noProof/>
        </w:rPr>
        <w:t xml:space="preserve">საქართველოს პარლამენტის </w:t>
      </w:r>
      <w:r w:rsidR="00AB62D0" w:rsidRPr="00E44C4A">
        <w:rPr>
          <w:rFonts w:ascii="Sylfaen" w:hAnsi="Sylfaen" w:cstheme="minorHAnsi"/>
          <w:b/>
          <w:bCs/>
          <w:noProof/>
        </w:rPr>
        <w:t>საფინანსო-საბიუჯეტო კომიტეტის</w:t>
      </w:r>
      <w:r w:rsidR="00AF7BC4" w:rsidRPr="00E44C4A">
        <w:rPr>
          <w:rFonts w:ascii="Sylfaen" w:hAnsi="Sylfaen" w:cstheme="minorHAnsi"/>
          <w:b/>
          <w:bCs/>
          <w:noProof/>
        </w:rPr>
        <w:t xml:space="preserve"> რეკომენდაციების გათვალისწინების შესაძლებლობის შესახებ</w:t>
      </w:r>
    </w:p>
    <w:p w:rsidR="003D08BF" w:rsidRPr="00E44C4A" w:rsidRDefault="003D08BF" w:rsidP="003D08BF">
      <w:pPr>
        <w:tabs>
          <w:tab w:val="left" w:pos="0"/>
        </w:tabs>
        <w:spacing w:after="0" w:line="276" w:lineRule="auto"/>
        <w:jc w:val="center"/>
        <w:rPr>
          <w:rFonts w:ascii="Sylfaen" w:hAnsi="Sylfaen" w:cstheme="minorHAnsi"/>
          <w:b/>
          <w:bCs/>
          <w:noProof/>
        </w:rPr>
      </w:pPr>
    </w:p>
    <w:tbl>
      <w:tblPr>
        <w:tblStyle w:val="TableGrid"/>
        <w:tblW w:w="5417" w:type="pct"/>
        <w:tblInd w:w="-635" w:type="dxa"/>
        <w:tblLook w:val="04A0" w:firstRow="1" w:lastRow="0" w:firstColumn="1" w:lastColumn="0" w:noHBand="0" w:noVBand="1"/>
      </w:tblPr>
      <w:tblGrid>
        <w:gridCol w:w="436"/>
        <w:gridCol w:w="6854"/>
        <w:gridCol w:w="6740"/>
      </w:tblGrid>
      <w:tr w:rsidR="00336E24" w:rsidRPr="00E44C4A" w:rsidTr="00B377D7">
        <w:trPr>
          <w:tblHeader/>
        </w:trPr>
        <w:tc>
          <w:tcPr>
            <w:tcW w:w="155" w:type="pct"/>
          </w:tcPr>
          <w:p w:rsidR="00336E24" w:rsidRPr="00E44C4A" w:rsidRDefault="00336E24" w:rsidP="003D08BF">
            <w:pPr>
              <w:tabs>
                <w:tab w:val="left" w:pos="0"/>
              </w:tabs>
              <w:spacing w:line="276" w:lineRule="auto"/>
              <w:jc w:val="center"/>
              <w:rPr>
                <w:rFonts w:ascii="Sylfaen" w:hAnsi="Sylfaen" w:cstheme="minorHAnsi"/>
                <w:b/>
                <w:bCs/>
                <w:noProof/>
              </w:rPr>
            </w:pPr>
            <w:r w:rsidRPr="00E44C4A">
              <w:rPr>
                <w:rFonts w:ascii="Sylfaen" w:hAnsi="Sylfaen" w:cstheme="minorHAnsi"/>
                <w:b/>
                <w:bCs/>
                <w:noProof/>
              </w:rPr>
              <w:t>№</w:t>
            </w:r>
          </w:p>
        </w:tc>
        <w:tc>
          <w:tcPr>
            <w:tcW w:w="2443" w:type="pct"/>
          </w:tcPr>
          <w:p w:rsidR="00336E24" w:rsidRPr="00E44C4A" w:rsidRDefault="00336E24" w:rsidP="003D08BF">
            <w:pPr>
              <w:tabs>
                <w:tab w:val="left" w:pos="0"/>
              </w:tabs>
              <w:spacing w:line="276" w:lineRule="auto"/>
              <w:jc w:val="center"/>
              <w:rPr>
                <w:rFonts w:ascii="Sylfaen" w:hAnsi="Sylfaen" w:cstheme="minorHAnsi"/>
                <w:b/>
                <w:bCs/>
                <w:noProof/>
              </w:rPr>
            </w:pPr>
            <w:r w:rsidRPr="00E44C4A">
              <w:rPr>
                <w:rFonts w:ascii="Sylfaen" w:hAnsi="Sylfaen" w:cstheme="minorHAnsi"/>
                <w:b/>
                <w:bCs/>
                <w:noProof/>
              </w:rPr>
              <w:t>რეკომენდაცია</w:t>
            </w:r>
          </w:p>
        </w:tc>
        <w:tc>
          <w:tcPr>
            <w:tcW w:w="2402" w:type="pct"/>
          </w:tcPr>
          <w:p w:rsidR="00336E24" w:rsidRPr="00E44C4A" w:rsidRDefault="00336E24" w:rsidP="003D08BF">
            <w:pPr>
              <w:tabs>
                <w:tab w:val="left" w:pos="0"/>
              </w:tabs>
              <w:spacing w:line="276" w:lineRule="auto"/>
              <w:jc w:val="center"/>
              <w:rPr>
                <w:rFonts w:ascii="Sylfaen" w:hAnsi="Sylfaen" w:cstheme="minorHAnsi"/>
                <w:b/>
                <w:bCs/>
                <w:noProof/>
              </w:rPr>
            </w:pPr>
            <w:r w:rsidRPr="00E44C4A">
              <w:rPr>
                <w:rFonts w:ascii="Sylfaen" w:hAnsi="Sylfaen" w:cstheme="minorHAnsi"/>
                <w:b/>
                <w:bCs/>
                <w:noProof/>
              </w:rPr>
              <w:t>რეკომენდაციის გათვალისწინების შესაძლებლობა</w:t>
            </w:r>
          </w:p>
        </w:tc>
      </w:tr>
      <w:tr w:rsidR="00F14744" w:rsidRPr="00E44C4A" w:rsidTr="00F14744">
        <w:tc>
          <w:tcPr>
            <w:tcW w:w="5000" w:type="pct"/>
            <w:gridSpan w:val="3"/>
            <w:shd w:val="clear" w:color="auto" w:fill="B4C6E7" w:themeFill="accent5" w:themeFillTint="66"/>
          </w:tcPr>
          <w:p w:rsidR="00F14744" w:rsidRPr="00E44C4A" w:rsidRDefault="00F14744" w:rsidP="003D08BF">
            <w:pPr>
              <w:tabs>
                <w:tab w:val="left" w:pos="0"/>
              </w:tabs>
              <w:spacing w:line="276" w:lineRule="auto"/>
              <w:jc w:val="center"/>
              <w:rPr>
                <w:rFonts w:ascii="Sylfaen" w:hAnsi="Sylfaen"/>
                <w:b/>
                <w:lang w:val="ka-GE"/>
              </w:rPr>
            </w:pPr>
            <w:r w:rsidRPr="00E44C4A">
              <w:rPr>
                <w:rFonts w:ascii="Sylfaen" w:hAnsi="Sylfaen" w:cstheme="minorHAnsi"/>
                <w:b/>
                <w:bCs/>
                <w:noProof/>
              </w:rPr>
              <w:t>საქართველოს პარლამენტის საფინანსო-საბიუჯეტო კომიტეტი</w:t>
            </w:r>
          </w:p>
        </w:tc>
      </w:tr>
      <w:tr w:rsidR="00F14744" w:rsidRPr="00E44C4A" w:rsidTr="003E05A6">
        <w:tc>
          <w:tcPr>
            <w:tcW w:w="155" w:type="pct"/>
            <w:vAlign w:val="center"/>
          </w:tcPr>
          <w:p w:rsidR="00F14744" w:rsidRPr="00E44C4A" w:rsidRDefault="003E05A6" w:rsidP="003D08BF">
            <w:pPr>
              <w:tabs>
                <w:tab w:val="left" w:pos="0"/>
              </w:tabs>
              <w:spacing w:line="276" w:lineRule="auto"/>
              <w:jc w:val="both"/>
              <w:rPr>
                <w:rFonts w:ascii="Sylfaen" w:hAnsi="Sylfaen" w:cstheme="minorHAnsi"/>
                <w:bCs/>
                <w:noProof/>
              </w:rPr>
            </w:pPr>
            <w:r w:rsidRPr="00E44C4A">
              <w:rPr>
                <w:rFonts w:ascii="Sylfaen" w:hAnsi="Sylfaen" w:cstheme="minorHAnsi"/>
                <w:bCs/>
                <w:noProof/>
              </w:rPr>
              <w:t>1</w:t>
            </w:r>
          </w:p>
        </w:tc>
        <w:tc>
          <w:tcPr>
            <w:tcW w:w="2443" w:type="pct"/>
          </w:tcPr>
          <w:p w:rsidR="00570817" w:rsidRPr="0036442B" w:rsidRDefault="00C64D86" w:rsidP="003D08BF">
            <w:pPr>
              <w:tabs>
                <w:tab w:val="left" w:pos="0"/>
              </w:tabs>
              <w:spacing w:line="276" w:lineRule="auto"/>
              <w:jc w:val="both"/>
              <w:rPr>
                <w:rFonts w:ascii="Sylfaen" w:hAnsi="Sylfaen" w:cstheme="minorHAnsi"/>
                <w:bCs/>
                <w:noProof/>
                <w:lang w:val="ka-GE"/>
              </w:rPr>
            </w:pPr>
            <w:r w:rsidRPr="00E44C4A">
              <w:rPr>
                <w:rFonts w:ascii="Sylfaen" w:hAnsi="Sylfaen" w:cstheme="minorHAnsi"/>
                <w:bCs/>
                <w:noProof/>
              </w:rPr>
              <w:t xml:space="preserve">2022 წლის სახელმწიფო ბიუჯეტის გადამუშავებული პროექტით წინა ვერსიასთან შედარებით გაზრდილია 2021 წლის მოსალოდნელი ნომინალური მშპ-ის მოცულობა, თუმცა სექტემბრის თვის ეკონომიკური ზრდის მაჩვენებელი იძლევა მოსალოდნელი ნომინალური მშპ-ის მოცულობის უფრო მეტი მატების შესაძლებლობას. </w:t>
            </w:r>
            <w:r w:rsidRPr="00E44C4A">
              <w:rPr>
                <w:rFonts w:ascii="Sylfaen" w:hAnsi="Sylfaen" w:cstheme="minorHAnsi"/>
                <w:b/>
                <w:bCs/>
                <w:i/>
                <w:noProof/>
              </w:rPr>
              <w:t>შესაბამისად, მიზანშეწონილია, კიდევ ერთხელ გადაიხედოს ნომინალური მშპ-ის საპროგნოზო მოცულობა ზრდის მიმართულებით</w:t>
            </w:r>
            <w:r w:rsidR="0036442B">
              <w:rPr>
                <w:rFonts w:ascii="Sylfaen" w:hAnsi="Sylfaen" w:cstheme="minorHAnsi"/>
                <w:b/>
                <w:bCs/>
                <w:i/>
                <w:noProof/>
                <w:lang w:val="ka-GE"/>
              </w:rPr>
              <w:t>;</w:t>
            </w:r>
          </w:p>
        </w:tc>
        <w:tc>
          <w:tcPr>
            <w:tcW w:w="2402" w:type="pct"/>
          </w:tcPr>
          <w:p w:rsidR="00970B11" w:rsidRPr="00E44C4A" w:rsidRDefault="001B6069" w:rsidP="00481EC2">
            <w:pPr>
              <w:spacing w:line="276" w:lineRule="auto"/>
              <w:jc w:val="both"/>
              <w:rPr>
                <w:rFonts w:ascii="Sylfaen" w:hAnsi="Sylfaen"/>
                <w:lang w:val="ka-GE"/>
              </w:rPr>
            </w:pPr>
            <w:r>
              <w:rPr>
                <w:rFonts w:ascii="Sylfaen" w:hAnsi="Sylfaen"/>
                <w:lang w:val="ka-GE"/>
              </w:rPr>
              <w:t xml:space="preserve">გასათვალისწინებელია, რომ </w:t>
            </w:r>
            <w:r w:rsidR="001A210E">
              <w:rPr>
                <w:rFonts w:ascii="Sylfaen" w:hAnsi="Sylfaen"/>
                <w:lang w:val="ka-GE"/>
              </w:rPr>
              <w:t>ნოემბერ</w:t>
            </w:r>
            <w:r>
              <w:rPr>
                <w:rFonts w:ascii="Sylfaen" w:hAnsi="Sylfaen"/>
                <w:lang w:val="ka-GE"/>
              </w:rPr>
              <w:t>ში საქართველოს სტატისტიკის ერ</w:t>
            </w:r>
            <w:r w:rsidR="00481EC2">
              <w:rPr>
                <w:rFonts w:ascii="Sylfaen" w:hAnsi="Sylfaen"/>
                <w:lang w:val="ka-GE"/>
              </w:rPr>
              <w:t>ო</w:t>
            </w:r>
            <w:r>
              <w:rPr>
                <w:rFonts w:ascii="Sylfaen" w:hAnsi="Sylfaen"/>
                <w:lang w:val="ka-GE"/>
              </w:rPr>
              <w:t>ვნული სამსახურის მიერ ხორციელდება წინა წლის (2020 წლის) ეკონომიკური ზრდის მონაცემების დაზუსტება, რამაც გავლენა მოახდინა 2022 წლის ნომინალური მშპ-ის მაჩვენებელზეც (</w:t>
            </w:r>
            <w:r w:rsidR="00DB6FAB">
              <w:rPr>
                <w:rFonts w:ascii="Sylfaen" w:hAnsi="Sylfaen"/>
                <w:lang w:val="ka-GE"/>
              </w:rPr>
              <w:t xml:space="preserve">განსაზღვრულია </w:t>
            </w:r>
            <w:r>
              <w:rPr>
                <w:rFonts w:ascii="Sylfaen" w:hAnsi="Sylfaen"/>
              </w:rPr>
              <w:t>64</w:t>
            </w:r>
            <w:r w:rsidR="001A210E">
              <w:rPr>
                <w:rFonts w:ascii="Sylfaen" w:hAnsi="Sylfaen"/>
                <w:lang w:val="ka-GE"/>
              </w:rPr>
              <w:t xml:space="preserve"> </w:t>
            </w:r>
            <w:r>
              <w:rPr>
                <w:rFonts w:ascii="Sylfaen" w:hAnsi="Sylfaen"/>
              </w:rPr>
              <w:t xml:space="preserve">832.4 </w:t>
            </w:r>
            <w:r w:rsidR="00DB6FAB">
              <w:rPr>
                <w:rFonts w:ascii="Sylfaen" w:hAnsi="Sylfaen"/>
                <w:lang w:val="ka-GE"/>
              </w:rPr>
              <w:t>მლნ ლარით, ნაცვლად 65</w:t>
            </w:r>
            <w:r w:rsidR="001A210E">
              <w:rPr>
                <w:rFonts w:ascii="Sylfaen" w:hAnsi="Sylfaen"/>
                <w:lang w:val="ka-GE"/>
              </w:rPr>
              <w:t xml:space="preserve"> </w:t>
            </w:r>
            <w:r w:rsidR="00DB6FAB">
              <w:rPr>
                <w:rFonts w:ascii="Sylfaen" w:hAnsi="Sylfaen"/>
                <w:lang w:val="ka-GE"/>
              </w:rPr>
              <w:t>016.0 მლნ ლარისა)</w:t>
            </w:r>
            <w:r>
              <w:rPr>
                <w:rFonts w:ascii="Sylfaen" w:hAnsi="Sylfaen"/>
                <w:lang w:val="ka-GE"/>
              </w:rPr>
              <w:t>, მიუხედავად იმისა</w:t>
            </w:r>
            <w:r w:rsidR="00847443">
              <w:rPr>
                <w:rFonts w:ascii="Sylfaen" w:hAnsi="Sylfaen"/>
              </w:rPr>
              <w:t>,</w:t>
            </w:r>
            <w:r>
              <w:rPr>
                <w:rFonts w:ascii="Sylfaen" w:hAnsi="Sylfaen"/>
                <w:lang w:val="ka-GE"/>
              </w:rPr>
              <w:t xml:space="preserve"> რომ რეალური საპროგნოზო ზრდის პროგნოზი არ შეცვლილა.</w:t>
            </w:r>
          </w:p>
        </w:tc>
      </w:tr>
      <w:tr w:rsidR="00C64D86" w:rsidRPr="00E44C4A" w:rsidTr="003E05A6">
        <w:tc>
          <w:tcPr>
            <w:tcW w:w="155" w:type="pct"/>
            <w:vAlign w:val="center"/>
          </w:tcPr>
          <w:p w:rsidR="00C64D86" w:rsidRPr="00E44C4A" w:rsidRDefault="00C64D86" w:rsidP="003D08BF">
            <w:pPr>
              <w:tabs>
                <w:tab w:val="left" w:pos="0"/>
              </w:tabs>
              <w:spacing w:line="276" w:lineRule="auto"/>
              <w:jc w:val="both"/>
              <w:rPr>
                <w:rFonts w:ascii="Sylfaen" w:hAnsi="Sylfaen" w:cstheme="minorHAnsi"/>
                <w:bCs/>
                <w:noProof/>
              </w:rPr>
            </w:pPr>
            <w:r w:rsidRPr="00E44C4A">
              <w:rPr>
                <w:rFonts w:ascii="Sylfaen" w:hAnsi="Sylfaen" w:cstheme="minorHAnsi"/>
                <w:bCs/>
                <w:noProof/>
              </w:rPr>
              <w:t>2</w:t>
            </w:r>
          </w:p>
        </w:tc>
        <w:tc>
          <w:tcPr>
            <w:tcW w:w="2443" w:type="pct"/>
          </w:tcPr>
          <w:p w:rsidR="00C64D86" w:rsidRPr="0036442B" w:rsidRDefault="00C64D86" w:rsidP="00C64D86">
            <w:pPr>
              <w:tabs>
                <w:tab w:val="left" w:pos="0"/>
              </w:tabs>
              <w:spacing w:line="276" w:lineRule="auto"/>
              <w:jc w:val="both"/>
              <w:rPr>
                <w:rFonts w:ascii="Sylfaen" w:hAnsi="Sylfaen" w:cstheme="minorHAnsi"/>
                <w:bCs/>
                <w:noProof/>
                <w:lang w:val="ka-GE"/>
              </w:rPr>
            </w:pPr>
            <w:r w:rsidRPr="00E44C4A">
              <w:rPr>
                <w:rFonts w:ascii="Sylfaen" w:hAnsi="Sylfaen" w:cstheme="minorHAnsi"/>
                <w:bCs/>
                <w:noProof/>
              </w:rPr>
              <w:t xml:space="preserve">ბიუჯეტის დეფიციტისა (მოდიფიცირებული) და მთავრობის ვალის პარამეტრები მშპ-ის მიმართ შენარჩუნებულია ბიუჯეტის პირველი პროექტით წარმოდგენილი მაჩვენებლების დონეზე. ხოლო ერთიანი ბიუჯეტის დეფიციტი განსაზღვრულია მშპ-ის 4.2%-ის დონეზე და კვლავ აჭარბებს კანონით დადგენილ 3%-იან ზღვარს. მისი დაბრუნება კანონით დადგენილ ზღვრებსა და ვადებში იგეგმება 2023 წელს. თუმცა, 2022 წლის ბიუჯეტის პროექტით გათვალისწინებული დეფიციტის პარამეტრები შესაძლებელია შემცირდეს, რისი პოტენციალიც არსებობს, როგორც ქვეყნის ეკონომიკურ ზრდაში, ისე საბიუჯეტო ხარჯების შესაძლო ეკონომიის პირობებში, რაც თავისთავად დადებითად იმოქმედებს ინფლაციის შემცირებასა და ლარის კურსის სტაბილურობაზე. ამასთან, </w:t>
            </w:r>
            <w:r w:rsidRPr="00E44C4A">
              <w:rPr>
                <w:rFonts w:ascii="Sylfaen" w:hAnsi="Sylfaen" w:cstheme="minorHAnsi"/>
                <w:b/>
                <w:bCs/>
                <w:i/>
                <w:noProof/>
              </w:rPr>
              <w:t xml:space="preserve">მიზანშეწონილია, საქართველოს მთავრობამ და საქართველოს ეროვნულმა ბანკმა გააგრძელონ </w:t>
            </w:r>
            <w:r w:rsidRPr="00E44C4A">
              <w:rPr>
                <w:rFonts w:ascii="Sylfaen" w:hAnsi="Sylfaen" w:cstheme="minorHAnsi"/>
                <w:b/>
                <w:bCs/>
                <w:i/>
                <w:noProof/>
              </w:rPr>
              <w:lastRenderedPageBreak/>
              <w:t>თანამშრომლობა,რათა ინფლაცია მაქსიმალურად დაუახლოვდეს მიზნობრივ მაჩვენებელს</w:t>
            </w:r>
            <w:r w:rsidR="0036442B">
              <w:rPr>
                <w:rFonts w:ascii="Sylfaen" w:hAnsi="Sylfaen" w:cstheme="minorHAnsi"/>
                <w:b/>
                <w:bCs/>
                <w:i/>
                <w:noProof/>
                <w:lang w:val="ka-GE"/>
              </w:rPr>
              <w:t>;</w:t>
            </w:r>
          </w:p>
        </w:tc>
        <w:tc>
          <w:tcPr>
            <w:tcW w:w="2402" w:type="pct"/>
          </w:tcPr>
          <w:p w:rsidR="00C64D86" w:rsidRPr="00847443" w:rsidRDefault="001B6069" w:rsidP="003D08BF">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lastRenderedPageBreak/>
              <w:t xml:space="preserve">საქართველოს ფინანსთა სამინისტრო და საქართველოს მთავრობა ეკონომიკური განვითარების მაჩვენებლების მუდმივი მონიტორინგის რეჟიმში განაგრძობენ მუშაობას ფისკალური პარამეტრების შესაძლო დაზუსტებაზე და აქტიურად </w:t>
            </w:r>
            <w:r w:rsidRPr="00847443">
              <w:rPr>
                <w:rFonts w:ascii="Sylfaen" w:hAnsi="Sylfaen" w:cstheme="minorHAnsi"/>
                <w:bCs/>
                <w:noProof/>
                <w:lang w:val="ka-GE"/>
              </w:rPr>
              <w:t>განაგრძობენ თანამშრომლობას საქართველოს ეროვნულ ბანკთან.</w:t>
            </w:r>
          </w:p>
          <w:p w:rsidR="001B6069" w:rsidRPr="00847443" w:rsidRDefault="001B6069" w:rsidP="003D08BF">
            <w:pPr>
              <w:tabs>
                <w:tab w:val="left" w:pos="0"/>
              </w:tabs>
              <w:spacing w:line="276" w:lineRule="auto"/>
              <w:jc w:val="both"/>
              <w:rPr>
                <w:rFonts w:ascii="Sylfaen" w:hAnsi="Sylfaen" w:cstheme="minorHAnsi"/>
                <w:bCs/>
                <w:noProof/>
                <w:lang w:val="ka-GE"/>
              </w:rPr>
            </w:pPr>
          </w:p>
          <w:p w:rsidR="001B6069" w:rsidRDefault="001B6069" w:rsidP="003D08BF">
            <w:pPr>
              <w:tabs>
                <w:tab w:val="left" w:pos="0"/>
              </w:tabs>
              <w:spacing w:line="276" w:lineRule="auto"/>
              <w:jc w:val="both"/>
              <w:rPr>
                <w:rFonts w:ascii="Sylfaen" w:hAnsi="Sylfaen" w:cstheme="minorHAnsi"/>
                <w:bCs/>
                <w:noProof/>
                <w:lang w:val="ka-GE"/>
              </w:rPr>
            </w:pPr>
            <w:r w:rsidRPr="00847443">
              <w:rPr>
                <w:rFonts w:ascii="Sylfaen" w:hAnsi="Sylfaen" w:cstheme="minorHAnsi"/>
                <w:bCs/>
                <w:noProof/>
                <w:lang w:val="ka-GE"/>
              </w:rPr>
              <w:t xml:space="preserve">საქართველოს </w:t>
            </w:r>
            <w:r w:rsidR="00847443" w:rsidRPr="00847443">
              <w:rPr>
                <w:rFonts w:ascii="Sylfaen" w:hAnsi="Sylfaen" w:cstheme="minorHAnsi"/>
                <w:bCs/>
                <w:noProof/>
                <w:lang w:val="ka-GE"/>
              </w:rPr>
              <w:t>მთავრობა</w:t>
            </w:r>
            <w:r w:rsidRPr="00847443">
              <w:rPr>
                <w:rFonts w:ascii="Sylfaen" w:hAnsi="Sylfaen" w:cstheme="minorHAnsi"/>
                <w:bCs/>
                <w:noProof/>
                <w:lang w:val="ka-GE"/>
              </w:rPr>
              <w:t xml:space="preserve"> უკვე აქტიურ</w:t>
            </w:r>
            <w:r w:rsidR="00847443">
              <w:rPr>
                <w:rFonts w:ascii="Sylfaen" w:hAnsi="Sylfaen" w:cstheme="minorHAnsi"/>
                <w:bCs/>
                <w:noProof/>
                <w:lang w:val="ka-GE"/>
              </w:rPr>
              <w:t>ი</w:t>
            </w:r>
            <w:r w:rsidRPr="00847443">
              <w:rPr>
                <w:rFonts w:ascii="Sylfaen" w:hAnsi="Sylfaen" w:cstheme="minorHAnsi"/>
                <w:bCs/>
                <w:noProof/>
                <w:lang w:val="ka-GE"/>
              </w:rPr>
              <w:t xml:space="preserve"> მოლაპარაკებების ფაზაშია საერთაშორისო სავალუტო ფონდთან ახალი პროგრამის დაწყების თაობაზე და აღნიშნული მოლაპარაკებების ფარგლებშიც აქტიურად გაგრძელდება მუშაობა მაკროეკონომიკური პარამეტრების </w:t>
            </w:r>
            <w:r w:rsidR="00847443">
              <w:rPr>
                <w:rFonts w:ascii="Sylfaen" w:hAnsi="Sylfaen" w:cstheme="minorHAnsi"/>
                <w:bCs/>
                <w:noProof/>
                <w:lang w:val="ka-GE"/>
              </w:rPr>
              <w:t>პროგნოზებ</w:t>
            </w:r>
            <w:r w:rsidRPr="00847443">
              <w:rPr>
                <w:rFonts w:ascii="Sylfaen" w:hAnsi="Sylfaen" w:cstheme="minorHAnsi"/>
                <w:bCs/>
                <w:noProof/>
                <w:lang w:val="ka-GE"/>
              </w:rPr>
              <w:t>სა და მდგრად ფისკალურ პარამეტრებზე ორიენტირების თვალსაზრისით.</w:t>
            </w:r>
          </w:p>
          <w:p w:rsidR="001B6069" w:rsidRPr="001B6069" w:rsidRDefault="001B6069" w:rsidP="003D08BF">
            <w:pPr>
              <w:tabs>
                <w:tab w:val="left" w:pos="0"/>
              </w:tabs>
              <w:spacing w:line="276" w:lineRule="auto"/>
              <w:jc w:val="both"/>
              <w:rPr>
                <w:rFonts w:ascii="Sylfaen" w:hAnsi="Sylfaen" w:cstheme="minorHAnsi"/>
                <w:bCs/>
                <w:noProof/>
                <w:lang w:val="ka-GE"/>
              </w:rPr>
            </w:pPr>
          </w:p>
        </w:tc>
      </w:tr>
      <w:tr w:rsidR="00C64D86" w:rsidRPr="00E44C4A" w:rsidTr="003E05A6">
        <w:tc>
          <w:tcPr>
            <w:tcW w:w="155" w:type="pct"/>
            <w:vAlign w:val="center"/>
          </w:tcPr>
          <w:p w:rsidR="00C64D86" w:rsidRPr="00E44C4A" w:rsidRDefault="00C64D86" w:rsidP="003D08BF">
            <w:pPr>
              <w:tabs>
                <w:tab w:val="left" w:pos="0"/>
              </w:tabs>
              <w:spacing w:line="276" w:lineRule="auto"/>
              <w:jc w:val="both"/>
              <w:rPr>
                <w:rFonts w:ascii="Sylfaen" w:hAnsi="Sylfaen" w:cstheme="minorHAnsi"/>
                <w:bCs/>
                <w:noProof/>
              </w:rPr>
            </w:pPr>
            <w:r w:rsidRPr="00E44C4A">
              <w:rPr>
                <w:rFonts w:ascii="Sylfaen" w:hAnsi="Sylfaen" w:cstheme="minorHAnsi"/>
                <w:bCs/>
                <w:noProof/>
              </w:rPr>
              <w:t>3</w:t>
            </w:r>
          </w:p>
        </w:tc>
        <w:tc>
          <w:tcPr>
            <w:tcW w:w="2443" w:type="pct"/>
          </w:tcPr>
          <w:p w:rsidR="00C64D86" w:rsidRPr="00E44C4A" w:rsidRDefault="00C64D86" w:rsidP="00C64D86">
            <w:pPr>
              <w:tabs>
                <w:tab w:val="left" w:pos="0"/>
              </w:tabs>
              <w:spacing w:line="276" w:lineRule="auto"/>
              <w:jc w:val="both"/>
              <w:rPr>
                <w:rFonts w:ascii="Sylfaen" w:hAnsi="Sylfaen" w:cstheme="minorHAnsi"/>
                <w:bCs/>
                <w:noProof/>
              </w:rPr>
            </w:pPr>
            <w:r w:rsidRPr="00E44C4A">
              <w:rPr>
                <w:rFonts w:ascii="Sylfaen" w:hAnsi="Sylfaen" w:cstheme="minorHAnsi"/>
                <w:bCs/>
                <w:noProof/>
              </w:rPr>
              <w:t xml:space="preserve">მისასალმებელია, რომ გათვალისწინებულია საქართველოს პარლამენტის მიერ ბოლო რამდენიმე წლის განმავლობაში დაფიქსირებული რეკომენდაცია და ვეტერანთა სოციალური გასაცემელი იზრდება 100 ლარამდე. იზრდება ასევე სსიპ - ვეტერანების საქმეთა სახელმწიფო სამსახურის დაფინანსება 695.0 ათასი ლარით. თუმცა, აღნიშნულის გარდა ვეტერანების ნაწილი (მათ შორის ვეტერანი შშმ პირები) საჭიროებს ასევე სხვა სახის დახმარებებსაც. აქედან გამომდინარე, </w:t>
            </w:r>
            <w:r w:rsidRPr="00E44C4A">
              <w:rPr>
                <w:rFonts w:ascii="Sylfaen" w:hAnsi="Sylfaen" w:cstheme="minorHAnsi"/>
                <w:b/>
                <w:bCs/>
                <w:i/>
                <w:noProof/>
              </w:rPr>
              <w:t>მიზანშეწონილია, სსიპ- ვეტერანების საქმეთა სახელმწიფო სამსახურის ასიგნებების უფრო მეტად გაზრდა;</w:t>
            </w:r>
          </w:p>
        </w:tc>
        <w:tc>
          <w:tcPr>
            <w:tcW w:w="2402" w:type="pct"/>
          </w:tcPr>
          <w:p w:rsidR="00847443" w:rsidRPr="00847443" w:rsidRDefault="001B6069" w:rsidP="00847443">
            <w:pPr>
              <w:tabs>
                <w:tab w:val="left" w:pos="0"/>
              </w:tabs>
              <w:spacing w:line="276" w:lineRule="auto"/>
              <w:jc w:val="both"/>
              <w:rPr>
                <w:rFonts w:ascii="Sylfaen" w:hAnsi="Sylfaen" w:cstheme="minorHAnsi"/>
                <w:b/>
                <w:bCs/>
                <w:noProof/>
                <w:lang w:val="ka-GE"/>
              </w:rPr>
            </w:pPr>
            <w:r w:rsidRPr="00847443">
              <w:rPr>
                <w:rFonts w:ascii="Sylfaen" w:hAnsi="Sylfaen" w:cstheme="minorHAnsi"/>
                <w:b/>
                <w:bCs/>
                <w:noProof/>
                <w:lang w:val="ka-GE"/>
              </w:rPr>
              <w:t xml:space="preserve">გათვალისწინებულია </w:t>
            </w:r>
          </w:p>
          <w:p w:rsidR="00C64D86" w:rsidRPr="001B6069" w:rsidRDefault="00847443" w:rsidP="00847443">
            <w:pPr>
              <w:tabs>
                <w:tab w:val="left" w:pos="0"/>
              </w:tabs>
              <w:spacing w:line="276" w:lineRule="auto"/>
              <w:jc w:val="both"/>
              <w:rPr>
                <w:rFonts w:ascii="Sylfaen" w:hAnsi="Sylfaen" w:cstheme="minorHAnsi"/>
                <w:bCs/>
                <w:noProof/>
                <w:lang w:val="ka-GE"/>
              </w:rPr>
            </w:pPr>
            <w:r w:rsidRPr="00847443">
              <w:rPr>
                <w:rFonts w:ascii="Sylfaen" w:hAnsi="Sylfaen" w:cstheme="minorHAnsi"/>
                <w:bCs/>
                <w:noProof/>
                <w:lang w:val="ka-GE"/>
              </w:rPr>
              <w:t>სსიპ- ვეტერანების საქმეთა სახელმწიფო სამსახურის</w:t>
            </w:r>
            <w:r>
              <w:rPr>
                <w:rFonts w:ascii="Sylfaen" w:hAnsi="Sylfaen" w:cstheme="minorHAnsi"/>
                <w:b/>
                <w:bCs/>
                <w:i/>
                <w:noProof/>
                <w:lang w:val="ka-GE"/>
              </w:rPr>
              <w:t xml:space="preserve"> </w:t>
            </w:r>
            <w:r w:rsidR="001B6069">
              <w:rPr>
                <w:rFonts w:ascii="Sylfaen" w:hAnsi="Sylfaen" w:cstheme="minorHAnsi"/>
                <w:bCs/>
                <w:noProof/>
                <w:lang w:val="ka-GE"/>
              </w:rPr>
              <w:t>ასიგნებები ბიუჯეტის საბოლოო პროექტით გაზრდილია 500 ათასი ლარით და შეადგენს 9.5 მლნ ლარს.</w:t>
            </w:r>
          </w:p>
        </w:tc>
      </w:tr>
      <w:tr w:rsidR="00C64D86" w:rsidRPr="00E44C4A" w:rsidTr="003E05A6">
        <w:tc>
          <w:tcPr>
            <w:tcW w:w="155" w:type="pct"/>
            <w:vAlign w:val="center"/>
          </w:tcPr>
          <w:p w:rsidR="00C64D86" w:rsidRPr="00E44C4A" w:rsidRDefault="00C64D86" w:rsidP="003D08BF">
            <w:pPr>
              <w:tabs>
                <w:tab w:val="left" w:pos="0"/>
              </w:tabs>
              <w:spacing w:line="276" w:lineRule="auto"/>
              <w:jc w:val="both"/>
              <w:rPr>
                <w:rFonts w:ascii="Sylfaen" w:hAnsi="Sylfaen" w:cstheme="minorHAnsi"/>
                <w:bCs/>
                <w:noProof/>
              </w:rPr>
            </w:pPr>
            <w:r w:rsidRPr="00E44C4A">
              <w:rPr>
                <w:rFonts w:ascii="Sylfaen" w:hAnsi="Sylfaen" w:cstheme="minorHAnsi"/>
                <w:bCs/>
                <w:noProof/>
              </w:rPr>
              <w:t>4</w:t>
            </w:r>
          </w:p>
        </w:tc>
        <w:tc>
          <w:tcPr>
            <w:tcW w:w="2443" w:type="pct"/>
          </w:tcPr>
          <w:p w:rsidR="00C64D86" w:rsidRPr="00E44C4A" w:rsidRDefault="00726434" w:rsidP="00726434">
            <w:pPr>
              <w:tabs>
                <w:tab w:val="left" w:pos="0"/>
              </w:tabs>
              <w:spacing w:line="276" w:lineRule="auto"/>
              <w:jc w:val="both"/>
              <w:rPr>
                <w:rFonts w:ascii="Sylfaen" w:hAnsi="Sylfaen" w:cstheme="minorHAnsi"/>
                <w:bCs/>
                <w:noProof/>
              </w:rPr>
            </w:pPr>
            <w:r w:rsidRPr="00E44C4A">
              <w:rPr>
                <w:rFonts w:ascii="Sylfaen" w:hAnsi="Sylfaen" w:cstheme="minorHAnsi"/>
                <w:bCs/>
                <w:noProof/>
              </w:rPr>
              <w:t xml:space="preserve">სახელმწიფო ბიუჯეტის გადამუშავებული პროექტით წინა ვერსიასთან შედარებით მნიშვნელოვნად გაიზარდა ძალოვანი სტრუქტურების დაფინასება. აღნიშნული ზრდა ძირითადად მიიმართება შრომის ანაზღაურებისათვის. </w:t>
            </w:r>
            <w:r w:rsidRPr="00E44C4A">
              <w:rPr>
                <w:rFonts w:ascii="Sylfaen" w:hAnsi="Sylfaen" w:cstheme="minorHAnsi"/>
                <w:b/>
                <w:bCs/>
                <w:i/>
                <w:noProof/>
              </w:rPr>
              <w:t>სასურველია, შესაძლებლობების ფარგლებში, გამოინახოს თანხები ძალოვანი სტრუქტურების სხვა მიმართულებების დაფინანსების გაზრდისათვის;</w:t>
            </w:r>
          </w:p>
        </w:tc>
        <w:tc>
          <w:tcPr>
            <w:tcW w:w="2402" w:type="pct"/>
          </w:tcPr>
          <w:p w:rsidR="00847443" w:rsidRPr="00847443" w:rsidRDefault="00847443" w:rsidP="00847443">
            <w:pPr>
              <w:tabs>
                <w:tab w:val="left" w:pos="0"/>
              </w:tabs>
              <w:spacing w:line="276" w:lineRule="auto"/>
              <w:jc w:val="both"/>
              <w:rPr>
                <w:rFonts w:ascii="Sylfaen" w:hAnsi="Sylfaen" w:cstheme="minorHAnsi"/>
                <w:b/>
                <w:bCs/>
                <w:noProof/>
                <w:lang w:val="ka-GE"/>
              </w:rPr>
            </w:pPr>
            <w:r w:rsidRPr="00847443">
              <w:rPr>
                <w:rFonts w:ascii="Sylfaen" w:hAnsi="Sylfaen" w:cstheme="minorHAnsi"/>
                <w:b/>
                <w:bCs/>
                <w:noProof/>
                <w:lang w:val="ka-GE"/>
              </w:rPr>
              <w:t xml:space="preserve">გათვალისწინებულია </w:t>
            </w:r>
          </w:p>
          <w:p w:rsidR="00C64D86" w:rsidRPr="001B6069" w:rsidRDefault="001B6069" w:rsidP="003D08BF">
            <w:pPr>
              <w:tabs>
                <w:tab w:val="left" w:pos="0"/>
              </w:tabs>
              <w:spacing w:line="276" w:lineRule="auto"/>
              <w:jc w:val="both"/>
              <w:rPr>
                <w:rFonts w:ascii="Sylfaen" w:hAnsi="Sylfaen" w:cstheme="minorHAnsi"/>
                <w:bCs/>
                <w:noProof/>
                <w:lang w:val="ka-GE"/>
              </w:rPr>
            </w:pPr>
            <w:bookmarkStart w:id="0" w:name="_GoBack"/>
            <w:bookmarkEnd w:id="0"/>
            <w:r>
              <w:rPr>
                <w:rFonts w:ascii="Sylfaen" w:hAnsi="Sylfaen" w:cstheme="minorHAnsi"/>
                <w:bCs/>
                <w:noProof/>
                <w:lang w:val="ka-GE"/>
              </w:rPr>
              <w:t>საქართველოს თავდაცვის სამინისტროს ასიგნებები, წარმოდგენლ ვერსიაში მე-2 წარდგენის ვერსიასთან შედარებით გაზრდილი</w:t>
            </w:r>
            <w:r w:rsidR="00847443">
              <w:rPr>
                <w:rFonts w:ascii="Sylfaen" w:hAnsi="Sylfaen" w:cstheme="minorHAnsi"/>
                <w:bCs/>
                <w:noProof/>
                <w:lang w:val="ka-GE"/>
              </w:rPr>
              <w:t>ა</w:t>
            </w:r>
            <w:r>
              <w:rPr>
                <w:rFonts w:ascii="Sylfaen" w:hAnsi="Sylfaen" w:cstheme="minorHAnsi"/>
                <w:bCs/>
                <w:noProof/>
                <w:lang w:val="ka-GE"/>
              </w:rPr>
              <w:t xml:space="preserve"> 40 მლნ ლარით და შეადგენს 1 002.4 ათას ლარს</w:t>
            </w:r>
          </w:p>
        </w:tc>
      </w:tr>
      <w:tr w:rsidR="00C64D86" w:rsidRPr="00E44C4A" w:rsidTr="003E05A6">
        <w:tc>
          <w:tcPr>
            <w:tcW w:w="155" w:type="pct"/>
            <w:vAlign w:val="center"/>
          </w:tcPr>
          <w:p w:rsidR="00C64D86" w:rsidRPr="00E44C4A" w:rsidRDefault="00726434" w:rsidP="003D08BF">
            <w:pPr>
              <w:tabs>
                <w:tab w:val="left" w:pos="0"/>
              </w:tabs>
              <w:spacing w:line="276" w:lineRule="auto"/>
              <w:jc w:val="both"/>
              <w:rPr>
                <w:rFonts w:ascii="Sylfaen" w:hAnsi="Sylfaen" w:cstheme="minorHAnsi"/>
                <w:bCs/>
                <w:noProof/>
              </w:rPr>
            </w:pPr>
            <w:r w:rsidRPr="00E44C4A">
              <w:rPr>
                <w:rFonts w:ascii="Sylfaen" w:hAnsi="Sylfaen" w:cstheme="minorHAnsi"/>
                <w:bCs/>
                <w:noProof/>
              </w:rPr>
              <w:t>5</w:t>
            </w:r>
          </w:p>
        </w:tc>
        <w:tc>
          <w:tcPr>
            <w:tcW w:w="2443" w:type="pct"/>
          </w:tcPr>
          <w:p w:rsidR="00C64D86" w:rsidRPr="00E44C4A" w:rsidRDefault="00726434" w:rsidP="00E44C4A">
            <w:pPr>
              <w:tabs>
                <w:tab w:val="left" w:pos="0"/>
              </w:tabs>
              <w:spacing w:line="276" w:lineRule="auto"/>
              <w:jc w:val="both"/>
              <w:rPr>
                <w:rFonts w:ascii="Sylfaen" w:hAnsi="Sylfaen" w:cstheme="minorHAnsi"/>
                <w:bCs/>
                <w:noProof/>
              </w:rPr>
            </w:pPr>
            <w:r w:rsidRPr="00E44C4A">
              <w:rPr>
                <w:rFonts w:ascii="Sylfaen" w:hAnsi="Sylfaen" w:cstheme="minorHAnsi"/>
                <w:bCs/>
                <w:noProof/>
              </w:rPr>
              <w:t>2020 წელს „სახელმწიფო პენსიის შესახებ“ საქართველოს კანონში განხორციელებული ცვლილებით განისაზღვრა პენსიის ზრდის ინდექსაციის წესი, რომლის შესაბამისად ეკონომიკურ პარამეტრებზე (ეკონომიკური ზრდა და ინფლაცია) დაყრდნობით</w:t>
            </w:r>
            <w:r w:rsidR="00E44C4A" w:rsidRPr="00E44C4A">
              <w:rPr>
                <w:rFonts w:ascii="Sylfaen" w:hAnsi="Sylfaen" w:cstheme="minorHAnsi"/>
                <w:bCs/>
                <w:noProof/>
                <w:lang w:val="ka-GE"/>
              </w:rPr>
              <w:t xml:space="preserve"> </w:t>
            </w:r>
            <w:r w:rsidRPr="00E44C4A">
              <w:rPr>
                <w:rFonts w:ascii="Sylfaen" w:hAnsi="Sylfaen" w:cstheme="minorHAnsi"/>
                <w:bCs/>
                <w:noProof/>
              </w:rPr>
              <w:t>ყოველწლიურად ხდება პენსიის გადაანგარიშება და ზრდა. ასევე,</w:t>
            </w:r>
            <w:r w:rsidR="00E44C4A" w:rsidRPr="00E44C4A">
              <w:rPr>
                <w:rFonts w:ascii="Sylfaen" w:hAnsi="Sylfaen" w:cstheme="minorHAnsi"/>
                <w:bCs/>
                <w:noProof/>
                <w:lang w:val="ka-GE"/>
              </w:rPr>
              <w:t xml:space="preserve"> </w:t>
            </w:r>
            <w:r w:rsidRPr="00E44C4A">
              <w:rPr>
                <w:rFonts w:ascii="Sylfaen" w:hAnsi="Sylfaen" w:cstheme="minorHAnsi"/>
                <w:bCs/>
                <w:noProof/>
              </w:rPr>
              <w:t>საქართველოს მთავრობა თავისი ინიციატივით ამუშავებს და 2022</w:t>
            </w:r>
            <w:r w:rsidR="00E44C4A" w:rsidRPr="00E44C4A">
              <w:rPr>
                <w:rFonts w:ascii="Sylfaen" w:hAnsi="Sylfaen" w:cstheme="minorHAnsi"/>
                <w:bCs/>
                <w:noProof/>
                <w:lang w:val="ka-GE"/>
              </w:rPr>
              <w:t xml:space="preserve"> </w:t>
            </w:r>
            <w:r w:rsidRPr="00E44C4A">
              <w:rPr>
                <w:rFonts w:ascii="Sylfaen" w:hAnsi="Sylfaen" w:cstheme="minorHAnsi"/>
                <w:bCs/>
                <w:noProof/>
              </w:rPr>
              <w:t>წლის 1 ივლისამდე უნდა დაამტკიცოს საჯარო დაწესებულებებში</w:t>
            </w:r>
            <w:r w:rsidR="00E44C4A" w:rsidRPr="00E44C4A">
              <w:rPr>
                <w:rFonts w:ascii="Sylfaen" w:hAnsi="Sylfaen" w:cstheme="minorHAnsi"/>
                <w:bCs/>
                <w:noProof/>
                <w:lang w:val="ka-GE"/>
              </w:rPr>
              <w:t xml:space="preserve"> </w:t>
            </w:r>
            <w:r w:rsidRPr="00E44C4A">
              <w:rPr>
                <w:rFonts w:ascii="Sylfaen" w:hAnsi="Sylfaen" w:cstheme="minorHAnsi"/>
                <w:bCs/>
                <w:noProof/>
              </w:rPr>
              <w:t xml:space="preserve">საბაზო თანამდებობრივი სარგოს ყოველწლიურად გადაანგარიშების მექანიზმი, რომელიც უნდა ამოქმედებულიყო 2024 წლიდან. თუმცა, გათვალისწინებულ იქნა საქართველოს </w:t>
            </w:r>
            <w:r w:rsidRPr="00E44C4A">
              <w:rPr>
                <w:rFonts w:ascii="Sylfaen" w:hAnsi="Sylfaen" w:cstheme="minorHAnsi"/>
                <w:bCs/>
                <w:noProof/>
              </w:rPr>
              <w:lastRenderedPageBreak/>
              <w:t>პარლამენტის რეკომენდაცია და აღნიშნულ მექანიზმზე გადასვლა</w:t>
            </w:r>
            <w:r w:rsidR="00E44C4A" w:rsidRPr="00E44C4A">
              <w:rPr>
                <w:rFonts w:ascii="Sylfaen" w:hAnsi="Sylfaen" w:cstheme="minorHAnsi"/>
                <w:bCs/>
                <w:noProof/>
                <w:lang w:val="ka-GE"/>
              </w:rPr>
              <w:t xml:space="preserve"> </w:t>
            </w:r>
            <w:r w:rsidRPr="00E44C4A">
              <w:rPr>
                <w:rFonts w:ascii="Sylfaen" w:hAnsi="Sylfaen" w:cstheme="minorHAnsi"/>
                <w:bCs/>
                <w:noProof/>
              </w:rPr>
              <w:t xml:space="preserve">დაიწყება 2023 წლიდან. ასევე, </w:t>
            </w:r>
            <w:r w:rsidRPr="00E44C4A">
              <w:rPr>
                <w:rFonts w:ascii="Sylfaen" w:hAnsi="Sylfaen" w:cstheme="minorHAnsi"/>
                <w:b/>
                <w:bCs/>
                <w:i/>
                <w:noProof/>
              </w:rPr>
              <w:t>დამატებით ვუწევთ რეკომენდაციას, რომ საჯარო დაწესებულებებში თანამდებობრივი სარგოს გაანგარიშების მექანიზმის შემუშავების პარალელურად მოხდეს მეთოდოლოგიის (ინდექსაციის წესის) შემუშავება პენსიონერების იმ ნაწილისათვის, რომელთა კომპენსაციის მაქსიმალური ზღვარი კანონით განისაზღვრა 2005 წელს და ბოლო 16 წელია არ შეცვლილა.</w:t>
            </w:r>
            <w:r w:rsidRPr="00E44C4A">
              <w:rPr>
                <w:rFonts w:ascii="Sylfaen" w:hAnsi="Sylfaen" w:cstheme="minorHAnsi"/>
                <w:bCs/>
                <w:noProof/>
              </w:rPr>
              <w:t xml:space="preserve"> </w:t>
            </w:r>
            <w:r w:rsidRPr="00E44C4A">
              <w:rPr>
                <w:rFonts w:ascii="Sylfaen" w:hAnsi="Sylfaen" w:cstheme="minorHAnsi"/>
                <w:b/>
                <w:bCs/>
                <w:i/>
                <w:noProof/>
              </w:rPr>
              <w:t>ასევე, მნიშვნელოვანია, რომ მოხდეს ანალოგიური მეთოდოლოგიის (ინდექსაციის წესის) შემუშავება და მის საფუძველზე შშმ პირთა სოციალური გასაცემელის ოდენობის განსაზღვრა</w:t>
            </w:r>
          </w:p>
        </w:tc>
        <w:tc>
          <w:tcPr>
            <w:tcW w:w="2402" w:type="pct"/>
          </w:tcPr>
          <w:p w:rsidR="00C64D86" w:rsidRPr="001B04FD" w:rsidRDefault="001B04FD" w:rsidP="003D08BF">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lastRenderedPageBreak/>
              <w:t>საქათველოს ფინანსთა სამინისტრო საქართველოს მთავრობ</w:t>
            </w:r>
            <w:r w:rsidR="001B6069">
              <w:rPr>
                <w:rFonts w:ascii="Sylfaen" w:hAnsi="Sylfaen" w:cstheme="minorHAnsi"/>
                <w:bCs/>
                <w:noProof/>
                <w:lang w:val="ka-GE"/>
              </w:rPr>
              <w:t>ასთან აქტიურად იმუშავებს აღნიშნულ რეკომენდაციებთან დაკავშირებით.</w:t>
            </w:r>
          </w:p>
        </w:tc>
      </w:tr>
      <w:tr w:rsidR="00C64D86" w:rsidRPr="00E44C4A" w:rsidTr="003E05A6">
        <w:tc>
          <w:tcPr>
            <w:tcW w:w="155" w:type="pct"/>
            <w:vAlign w:val="center"/>
          </w:tcPr>
          <w:p w:rsidR="00C64D86" w:rsidRPr="00E44C4A" w:rsidRDefault="00807BBE" w:rsidP="003D08BF">
            <w:pPr>
              <w:tabs>
                <w:tab w:val="left" w:pos="0"/>
              </w:tabs>
              <w:spacing w:line="276" w:lineRule="auto"/>
              <w:jc w:val="both"/>
              <w:rPr>
                <w:rFonts w:ascii="Sylfaen" w:hAnsi="Sylfaen" w:cstheme="minorHAnsi"/>
                <w:bCs/>
                <w:noProof/>
              </w:rPr>
            </w:pPr>
            <w:r w:rsidRPr="00E44C4A">
              <w:rPr>
                <w:rFonts w:ascii="Sylfaen" w:hAnsi="Sylfaen" w:cstheme="minorHAnsi"/>
                <w:bCs/>
                <w:noProof/>
              </w:rPr>
              <w:t>6</w:t>
            </w:r>
          </w:p>
        </w:tc>
        <w:tc>
          <w:tcPr>
            <w:tcW w:w="2443" w:type="pct"/>
          </w:tcPr>
          <w:p w:rsidR="00C64D86" w:rsidRPr="00E44C4A" w:rsidRDefault="00807BBE" w:rsidP="00E44C4A">
            <w:pPr>
              <w:tabs>
                <w:tab w:val="left" w:pos="0"/>
              </w:tabs>
              <w:spacing w:line="276" w:lineRule="auto"/>
              <w:jc w:val="both"/>
              <w:rPr>
                <w:rFonts w:ascii="Sylfaen" w:hAnsi="Sylfaen" w:cstheme="minorHAnsi"/>
                <w:bCs/>
                <w:noProof/>
              </w:rPr>
            </w:pPr>
            <w:r w:rsidRPr="00E44C4A">
              <w:rPr>
                <w:rFonts w:ascii="Sylfaen" w:hAnsi="Sylfaen" w:cstheme="minorHAnsi"/>
                <w:b/>
                <w:bCs/>
                <w:i/>
                <w:noProof/>
              </w:rPr>
              <w:t>„საქართველოს ტყის კოდექსით“ გათვალისწინებული ძირითადი ვალდებულებები</w:t>
            </w:r>
            <w:r w:rsidRPr="00E44C4A">
              <w:rPr>
                <w:rFonts w:ascii="Sylfaen" w:hAnsi="Sylfaen" w:cstheme="minorHAnsi"/>
                <w:bCs/>
                <w:noProof/>
              </w:rPr>
              <w:t xml:space="preserve"> უნდა ამოქმედდეს 2023 წლის იანვრიდან. კანონპროექტზე თანდართული რეკომენდაციების გათვალისწინების შესახებ ინფორმაციაში აღნიშნულია, რომ ეს საკითხი საქართველოს მთავრობის მიერ განხილული იქნება არსებული ფისკალური დეფიციტისა და რესურსების ფარგლებში</w:t>
            </w:r>
            <w:r w:rsidR="00E44C4A" w:rsidRPr="00E44C4A">
              <w:rPr>
                <w:rFonts w:ascii="Sylfaen" w:hAnsi="Sylfaen" w:cstheme="minorHAnsi"/>
                <w:bCs/>
                <w:noProof/>
                <w:lang w:val="ka-GE"/>
              </w:rPr>
              <w:t xml:space="preserve"> </w:t>
            </w:r>
            <w:r w:rsidRPr="00E44C4A">
              <w:rPr>
                <w:rFonts w:ascii="Sylfaen" w:hAnsi="Sylfaen" w:cstheme="minorHAnsi"/>
                <w:bCs/>
                <w:noProof/>
              </w:rPr>
              <w:t xml:space="preserve">კანონპროექტის მესამე წარდგენამდე. ამასთან, აქვეა მითითებული, რომ ეროვნულ სატყეო სააგენტოს ბოლო წლებში მნიშვნელოვნად გაეზარდა საკუთარი შემოსავლები, რაც ასევე ხმარდება კოდექსით განსაზღვრული ვალდებულებების შესრულებას. </w:t>
            </w:r>
            <w:r w:rsidRPr="00E44C4A">
              <w:rPr>
                <w:rFonts w:ascii="Sylfaen" w:hAnsi="Sylfaen" w:cstheme="minorHAnsi"/>
                <w:b/>
                <w:bCs/>
                <w:i/>
                <w:noProof/>
              </w:rPr>
              <w:t>სასურველია, ბიუჯეტის საბოლოო ვარიანტისათვის დაზუსტდეს აღნიშნული საკითხი, რაც საშუალებას მოგვცემს განვსაზღვროთ თუ რამდენად შესაძლებელია კანონით გათვალისწინებული ნორმის დროულად ამოქმედება;</w:t>
            </w:r>
          </w:p>
        </w:tc>
        <w:tc>
          <w:tcPr>
            <w:tcW w:w="2402" w:type="pct"/>
          </w:tcPr>
          <w:p w:rsidR="00847443" w:rsidRPr="00847443" w:rsidRDefault="00847443" w:rsidP="00847443">
            <w:pPr>
              <w:tabs>
                <w:tab w:val="left" w:pos="0"/>
              </w:tabs>
              <w:spacing w:line="276" w:lineRule="auto"/>
              <w:jc w:val="both"/>
              <w:rPr>
                <w:rFonts w:ascii="Sylfaen" w:hAnsi="Sylfaen" w:cstheme="minorHAnsi"/>
                <w:b/>
                <w:bCs/>
                <w:noProof/>
                <w:lang w:val="ka-GE"/>
              </w:rPr>
            </w:pPr>
            <w:r w:rsidRPr="00847443">
              <w:rPr>
                <w:rFonts w:ascii="Sylfaen" w:hAnsi="Sylfaen" w:cstheme="minorHAnsi"/>
                <w:b/>
                <w:bCs/>
                <w:noProof/>
                <w:lang w:val="ka-GE"/>
              </w:rPr>
              <w:t xml:space="preserve">გათვალისწინებულია </w:t>
            </w:r>
          </w:p>
          <w:p w:rsidR="00C64D86" w:rsidRPr="001B04FD" w:rsidRDefault="001B04FD" w:rsidP="003D08BF">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 xml:space="preserve">წარმოდგენილ ვერსიაში „სატყეო სისტემების ჩამოყალიბება და მართვა“ </w:t>
            </w:r>
            <w:r w:rsidR="00847443">
              <w:rPr>
                <w:rFonts w:ascii="Sylfaen" w:hAnsi="Sylfaen" w:cstheme="minorHAnsi"/>
                <w:bCs/>
                <w:noProof/>
                <w:lang w:val="ka-GE"/>
              </w:rPr>
              <w:t xml:space="preserve">პროგრამის ასიგნება </w:t>
            </w:r>
            <w:r>
              <w:rPr>
                <w:rFonts w:ascii="Sylfaen" w:hAnsi="Sylfaen" w:cstheme="minorHAnsi"/>
                <w:bCs/>
                <w:noProof/>
                <w:lang w:val="ka-GE"/>
              </w:rPr>
              <w:t>გაზრდილია 650 ათასი ლარით და შეადგენს 11 170.8 ათას ლარს.</w:t>
            </w:r>
          </w:p>
        </w:tc>
      </w:tr>
      <w:tr w:rsidR="00C64D86" w:rsidRPr="00E44C4A" w:rsidTr="003E05A6">
        <w:tc>
          <w:tcPr>
            <w:tcW w:w="155" w:type="pct"/>
            <w:vAlign w:val="center"/>
          </w:tcPr>
          <w:p w:rsidR="00C64D86" w:rsidRPr="00E44C4A" w:rsidRDefault="00807BBE" w:rsidP="003D08BF">
            <w:pPr>
              <w:tabs>
                <w:tab w:val="left" w:pos="0"/>
              </w:tabs>
              <w:spacing w:line="276" w:lineRule="auto"/>
              <w:jc w:val="both"/>
              <w:rPr>
                <w:rFonts w:ascii="Sylfaen" w:hAnsi="Sylfaen" w:cstheme="minorHAnsi"/>
                <w:bCs/>
                <w:noProof/>
              </w:rPr>
            </w:pPr>
            <w:r w:rsidRPr="00E44C4A">
              <w:rPr>
                <w:rFonts w:ascii="Sylfaen" w:hAnsi="Sylfaen" w:cstheme="minorHAnsi"/>
                <w:bCs/>
                <w:noProof/>
              </w:rPr>
              <w:t>7</w:t>
            </w:r>
          </w:p>
        </w:tc>
        <w:tc>
          <w:tcPr>
            <w:tcW w:w="2443" w:type="pct"/>
          </w:tcPr>
          <w:p w:rsidR="00C64D86" w:rsidRPr="00E44C4A" w:rsidRDefault="00807BBE" w:rsidP="00807BBE">
            <w:pPr>
              <w:tabs>
                <w:tab w:val="left" w:pos="0"/>
              </w:tabs>
              <w:spacing w:line="276" w:lineRule="auto"/>
              <w:jc w:val="both"/>
              <w:rPr>
                <w:rFonts w:ascii="Sylfaen" w:hAnsi="Sylfaen" w:cstheme="minorHAnsi"/>
                <w:bCs/>
                <w:noProof/>
                <w:lang w:val="ka-GE"/>
              </w:rPr>
            </w:pPr>
            <w:r w:rsidRPr="00E44C4A">
              <w:rPr>
                <w:rFonts w:ascii="Sylfaen" w:hAnsi="Sylfaen" w:cstheme="minorHAnsi"/>
                <w:bCs/>
                <w:noProof/>
              </w:rPr>
              <w:t xml:space="preserve">საქართველოს პარლამენტის რეკომენდაციით საქართველოს რეგიონებში განსახორციელებელი პროექტების ფონდის მოცულობა 300 მლნ ლარი უნდა გაზრდილიყო მიმდინარე წლის გეგმის დონეზე - 410 მლნ ლარამდე. კანონპროექტზე </w:t>
            </w:r>
            <w:r w:rsidRPr="00E44C4A">
              <w:rPr>
                <w:rFonts w:ascii="Sylfaen" w:hAnsi="Sylfaen" w:cstheme="minorHAnsi"/>
                <w:bCs/>
                <w:noProof/>
              </w:rPr>
              <w:lastRenderedPageBreak/>
              <w:t xml:space="preserve">თანდართული რეკომენდაციების გათვალისწინების შესახებ ინფორმაციაში აღნიშნულია, რომ </w:t>
            </w:r>
            <w:r w:rsidRPr="00E44C4A">
              <w:rPr>
                <w:rFonts w:ascii="Sylfaen" w:hAnsi="Sylfaen" w:cstheme="minorHAnsi"/>
                <w:b/>
                <w:bCs/>
                <w:i/>
                <w:noProof/>
              </w:rPr>
              <w:t>ფონდის მოცულობის ზრდა არსებული ფისკალური რესურსების პირობებში, განხილული იქნება ბიუჯეტის საბოლოო ვერსიისათვის, ან/და 2022 წელს (როგორც მიმდინარე წელს), ეკონომიკური ზრდისა და ბიუჯეტის შემოსავლების მატების პირობებში, რასაც ვეთანხმებით</w:t>
            </w:r>
            <w:r w:rsidR="00E44C4A" w:rsidRPr="00E44C4A">
              <w:rPr>
                <w:rFonts w:ascii="Sylfaen" w:hAnsi="Sylfaen" w:cstheme="minorHAnsi"/>
                <w:b/>
                <w:bCs/>
                <w:i/>
                <w:noProof/>
                <w:lang w:val="ka-GE"/>
              </w:rPr>
              <w:t>;</w:t>
            </w:r>
          </w:p>
        </w:tc>
        <w:tc>
          <w:tcPr>
            <w:tcW w:w="2402" w:type="pct"/>
          </w:tcPr>
          <w:p w:rsidR="00C64D86" w:rsidRPr="00E44C4A" w:rsidRDefault="00D24E2C" w:rsidP="002C3BE0">
            <w:pPr>
              <w:tabs>
                <w:tab w:val="left" w:pos="0"/>
              </w:tabs>
              <w:spacing w:line="276" w:lineRule="auto"/>
              <w:jc w:val="both"/>
              <w:rPr>
                <w:rFonts w:ascii="Sylfaen" w:hAnsi="Sylfaen" w:cstheme="minorHAnsi"/>
                <w:bCs/>
                <w:noProof/>
              </w:rPr>
            </w:pPr>
            <w:r>
              <w:rPr>
                <w:rFonts w:ascii="Sylfaen" w:hAnsi="Sylfaen" w:cstheme="minorHAnsi"/>
                <w:lang w:val="ka-GE"/>
              </w:rPr>
              <w:lastRenderedPageBreak/>
              <w:t xml:space="preserve">ეკონომიკური ზრდის </w:t>
            </w:r>
            <w:r w:rsidR="00847443">
              <w:rPr>
                <w:rFonts w:ascii="Sylfaen" w:hAnsi="Sylfaen" w:cstheme="minorHAnsi"/>
                <w:lang w:val="ka-GE"/>
              </w:rPr>
              <w:t>ტენდე</w:t>
            </w:r>
            <w:r w:rsidR="002C3BE0">
              <w:rPr>
                <w:rFonts w:ascii="Sylfaen" w:hAnsi="Sylfaen" w:cstheme="minorHAnsi"/>
                <w:lang w:val="ka-GE"/>
              </w:rPr>
              <w:t>ნ</w:t>
            </w:r>
            <w:r w:rsidR="00847443">
              <w:rPr>
                <w:rFonts w:ascii="Sylfaen" w:hAnsi="Sylfaen" w:cstheme="minorHAnsi"/>
                <w:lang w:val="ka-GE"/>
              </w:rPr>
              <w:t>ც</w:t>
            </w:r>
            <w:r w:rsidR="002C3BE0">
              <w:rPr>
                <w:rFonts w:ascii="Sylfaen" w:hAnsi="Sylfaen" w:cstheme="minorHAnsi"/>
                <w:lang w:val="ka-GE"/>
              </w:rPr>
              <w:t>იების გათვალისწინებით, იმ პირობით რომ არ მოხდება დეფიციტ</w:t>
            </w:r>
            <w:r w:rsidR="00847443">
              <w:rPr>
                <w:rFonts w:ascii="Sylfaen" w:hAnsi="Sylfaen" w:cstheme="minorHAnsi"/>
                <w:lang w:val="ka-GE"/>
              </w:rPr>
              <w:t>ი</w:t>
            </w:r>
            <w:r w:rsidR="002C3BE0">
              <w:rPr>
                <w:rFonts w:ascii="Sylfaen" w:hAnsi="Sylfaen" w:cstheme="minorHAnsi"/>
                <w:lang w:val="ka-GE"/>
              </w:rPr>
              <w:t xml:space="preserve">ს ზრდა შესაძლებელია 2022 წელს </w:t>
            </w:r>
            <w:r w:rsidR="00847443" w:rsidRPr="00E44C4A">
              <w:rPr>
                <w:rFonts w:ascii="Sylfaen" w:hAnsi="Sylfaen" w:cstheme="minorHAnsi"/>
                <w:bCs/>
                <w:noProof/>
              </w:rPr>
              <w:t xml:space="preserve">საქართველოს რეგიონებში განსახორციელებელი </w:t>
            </w:r>
            <w:r w:rsidR="00847443" w:rsidRPr="00E44C4A">
              <w:rPr>
                <w:rFonts w:ascii="Sylfaen" w:hAnsi="Sylfaen" w:cstheme="minorHAnsi"/>
                <w:bCs/>
                <w:noProof/>
              </w:rPr>
              <w:lastRenderedPageBreak/>
              <w:t xml:space="preserve">პროექტების </w:t>
            </w:r>
            <w:r w:rsidR="00847443">
              <w:rPr>
                <w:rFonts w:ascii="Sylfaen" w:hAnsi="Sylfaen" w:cstheme="minorHAnsi"/>
                <w:bCs/>
                <w:noProof/>
                <w:lang w:val="ka-GE"/>
              </w:rPr>
              <w:t>ფონდის</w:t>
            </w:r>
            <w:r w:rsidR="002C3BE0">
              <w:rPr>
                <w:rFonts w:ascii="Sylfaen" w:hAnsi="Sylfaen" w:cstheme="minorHAnsi"/>
                <w:lang w:val="ka-GE"/>
              </w:rPr>
              <w:t xml:space="preserve"> მოცულობის საკითხის შემდგომი განხილვა</w:t>
            </w:r>
            <w:r>
              <w:rPr>
                <w:rFonts w:ascii="Sylfaen" w:hAnsi="Sylfaen" w:cstheme="minorHAnsi"/>
                <w:lang w:val="ka-GE"/>
              </w:rPr>
              <w:t xml:space="preserve">. </w:t>
            </w:r>
          </w:p>
        </w:tc>
      </w:tr>
      <w:tr w:rsidR="00C64D86" w:rsidRPr="00E44C4A" w:rsidTr="003E05A6">
        <w:tc>
          <w:tcPr>
            <w:tcW w:w="155" w:type="pct"/>
            <w:vAlign w:val="center"/>
          </w:tcPr>
          <w:p w:rsidR="00C64D86" w:rsidRPr="00E44C4A" w:rsidRDefault="00807BBE" w:rsidP="003D08BF">
            <w:pPr>
              <w:tabs>
                <w:tab w:val="left" w:pos="0"/>
              </w:tabs>
              <w:spacing w:line="276" w:lineRule="auto"/>
              <w:jc w:val="both"/>
              <w:rPr>
                <w:rFonts w:ascii="Sylfaen" w:hAnsi="Sylfaen" w:cstheme="minorHAnsi"/>
                <w:bCs/>
                <w:noProof/>
              </w:rPr>
            </w:pPr>
            <w:r w:rsidRPr="00E44C4A">
              <w:rPr>
                <w:rFonts w:ascii="Sylfaen" w:hAnsi="Sylfaen" w:cstheme="minorHAnsi"/>
                <w:bCs/>
                <w:noProof/>
              </w:rPr>
              <w:lastRenderedPageBreak/>
              <w:t>8</w:t>
            </w:r>
          </w:p>
        </w:tc>
        <w:tc>
          <w:tcPr>
            <w:tcW w:w="2443" w:type="pct"/>
          </w:tcPr>
          <w:p w:rsidR="00C64D86" w:rsidRPr="00E44C4A" w:rsidRDefault="00807BBE" w:rsidP="00807BBE">
            <w:pPr>
              <w:tabs>
                <w:tab w:val="left" w:pos="0"/>
              </w:tabs>
              <w:spacing w:line="276" w:lineRule="auto"/>
              <w:jc w:val="both"/>
              <w:rPr>
                <w:rFonts w:ascii="Sylfaen" w:hAnsi="Sylfaen" w:cstheme="minorHAnsi"/>
                <w:bCs/>
                <w:noProof/>
              </w:rPr>
            </w:pPr>
            <w:r w:rsidRPr="00E44C4A">
              <w:rPr>
                <w:rFonts w:ascii="Sylfaen" w:hAnsi="Sylfaen" w:cstheme="minorHAnsi"/>
                <w:bCs/>
                <w:noProof/>
              </w:rPr>
              <w:t xml:space="preserve">ცენტრალური ხელისუფლებიდან მუნიციპალიტეტებს დელეგირებული უფლებამოსილების (საზოგადოებრივი ჯანდაცვა, სამხედრო ვალდებულებები და სხვა) განსახორციელებლად ეძლევათ მიზნობრივი ტრანსფერები, რომლის ოდენობა წლების განმავლობაში არ არის საკმარისი, განსაკუთრებით ქვეყანაში არსებული ინფლაციის, კოვიდპანდემიისა თუ სხვა ფაქტორების გათვალისწინებით. შედეგად, მუნიციპალიტეტებს საკუთარი ბიუჯეტებიდან უწევთ დამატებითი ხარჯის გაწევა, რაზედაც სახელმწიფო აუდიტის სამსახური აფიქსირებს შენიშვნას. მიზანშეწონილია, </w:t>
            </w:r>
            <w:r w:rsidRPr="00E44C4A">
              <w:rPr>
                <w:rFonts w:ascii="Sylfaen" w:hAnsi="Sylfaen" w:cstheme="minorHAnsi"/>
                <w:b/>
                <w:bCs/>
                <w:i/>
                <w:noProof/>
              </w:rPr>
              <w:t>მომავალში მიზნობრივი ტრანსფერის გადაანგარიშება მოხდეს საჭიროების გათვალისწინებით ისე, რომ განისაზღვროს მისი რეალური ოდენობა</w:t>
            </w:r>
          </w:p>
        </w:tc>
        <w:tc>
          <w:tcPr>
            <w:tcW w:w="2402" w:type="pct"/>
          </w:tcPr>
          <w:p w:rsidR="00C64D86" w:rsidRDefault="00DB6FAB" w:rsidP="00071E9B">
            <w:pPr>
              <w:tabs>
                <w:tab w:val="left" w:pos="0"/>
              </w:tabs>
              <w:spacing w:line="276" w:lineRule="auto"/>
              <w:jc w:val="both"/>
              <w:rPr>
                <w:rFonts w:ascii="Sylfaen" w:hAnsi="Sylfaen" w:cstheme="minorHAnsi"/>
                <w:bCs/>
                <w:noProof/>
                <w:lang w:val="ka-GE"/>
              </w:rPr>
            </w:pPr>
            <w:r w:rsidRPr="00071E9B">
              <w:rPr>
                <w:rFonts w:ascii="Sylfaen" w:hAnsi="Sylfaen" w:cstheme="minorHAnsi"/>
                <w:bCs/>
                <w:noProof/>
                <w:lang w:val="ka-GE"/>
              </w:rPr>
              <w:t>საქართველოს ფინანსთა სამინისტ</w:t>
            </w:r>
            <w:r w:rsidR="00847443">
              <w:rPr>
                <w:rFonts w:ascii="Sylfaen" w:hAnsi="Sylfaen" w:cstheme="minorHAnsi"/>
                <w:bCs/>
                <w:noProof/>
                <w:lang w:val="ka-GE"/>
              </w:rPr>
              <w:t>რ</w:t>
            </w:r>
            <w:r w:rsidRPr="00071E9B">
              <w:rPr>
                <w:rFonts w:ascii="Sylfaen" w:hAnsi="Sylfaen" w:cstheme="minorHAnsi"/>
                <w:bCs/>
                <w:noProof/>
                <w:lang w:val="ka-GE"/>
              </w:rPr>
              <w:t xml:space="preserve">ო, საქართველოს რეგიონული განვითარებისა და ინფრასტრუქტურის სამინისტროსთან ერთად, </w:t>
            </w:r>
            <w:r w:rsidR="00071E9B" w:rsidRPr="00071E9B">
              <w:rPr>
                <w:rFonts w:ascii="Sylfaen" w:hAnsi="Sylfaen" w:cstheme="minorHAnsi"/>
                <w:bCs/>
                <w:noProof/>
                <w:lang w:val="ka-GE"/>
              </w:rPr>
              <w:t>საერთაშორისო დონორი ორგანიზაციების მხარდაჭერით განაგრძობს მუშაობას დელეგირებული უფლებამოსილებების განფასების მიზნით.</w:t>
            </w:r>
          </w:p>
          <w:p w:rsidR="00071E9B" w:rsidRDefault="00071E9B" w:rsidP="00071E9B">
            <w:pPr>
              <w:tabs>
                <w:tab w:val="left" w:pos="0"/>
              </w:tabs>
              <w:spacing w:line="276" w:lineRule="auto"/>
              <w:jc w:val="both"/>
              <w:rPr>
                <w:rFonts w:ascii="Sylfaen" w:hAnsi="Sylfaen" w:cstheme="minorHAnsi"/>
                <w:bCs/>
                <w:noProof/>
                <w:lang w:val="ka-GE"/>
              </w:rPr>
            </w:pPr>
          </w:p>
          <w:p w:rsidR="00071E9B" w:rsidRPr="00101436" w:rsidRDefault="00071E9B" w:rsidP="00071E9B">
            <w:pPr>
              <w:tabs>
                <w:tab w:val="left" w:pos="0"/>
              </w:tabs>
              <w:spacing w:line="276" w:lineRule="auto"/>
              <w:jc w:val="both"/>
              <w:rPr>
                <w:rFonts w:ascii="Sylfaen" w:hAnsi="Sylfaen" w:cstheme="minorHAnsi"/>
                <w:bCs/>
                <w:noProof/>
                <w:highlight w:val="yellow"/>
              </w:rPr>
            </w:pPr>
            <w:r>
              <w:rPr>
                <w:rFonts w:ascii="Sylfaen" w:hAnsi="Sylfaen" w:cstheme="minorHAnsi"/>
                <w:bCs/>
                <w:noProof/>
                <w:lang w:val="ka-GE"/>
              </w:rPr>
              <w:t>ამასთან გასათვალისწინებლია, რო</w:t>
            </w:r>
            <w:r w:rsidR="002C3BE0">
              <w:rPr>
                <w:rFonts w:ascii="Sylfaen" w:hAnsi="Sylfaen" w:cstheme="minorHAnsi"/>
                <w:bCs/>
                <w:noProof/>
                <w:lang w:val="ka-GE"/>
              </w:rPr>
              <w:t>მ 2022 წლის</w:t>
            </w:r>
            <w:r w:rsidR="00847443">
              <w:rPr>
                <w:rFonts w:ascii="Sylfaen" w:hAnsi="Sylfaen" w:cstheme="minorHAnsi"/>
                <w:bCs/>
                <w:noProof/>
                <w:lang w:val="ka-GE"/>
              </w:rPr>
              <w:t>ა</w:t>
            </w:r>
            <w:r w:rsidR="002C3BE0">
              <w:rPr>
                <w:rFonts w:ascii="Sylfaen" w:hAnsi="Sylfaen" w:cstheme="minorHAnsi"/>
                <w:bCs/>
                <w:noProof/>
                <w:lang w:val="ka-GE"/>
              </w:rPr>
              <w:t>თვის მიზნობრივი ტრანსფერი გაზრდილია 2021 წელთან შედარებით.</w:t>
            </w:r>
          </w:p>
        </w:tc>
      </w:tr>
      <w:tr w:rsidR="00C64D86" w:rsidRPr="00E44C4A" w:rsidTr="003E05A6">
        <w:tc>
          <w:tcPr>
            <w:tcW w:w="155" w:type="pct"/>
            <w:vAlign w:val="center"/>
          </w:tcPr>
          <w:p w:rsidR="00C64D86" w:rsidRPr="00E44C4A" w:rsidRDefault="00807BBE" w:rsidP="003D08BF">
            <w:pPr>
              <w:tabs>
                <w:tab w:val="left" w:pos="0"/>
              </w:tabs>
              <w:spacing w:line="276" w:lineRule="auto"/>
              <w:jc w:val="both"/>
              <w:rPr>
                <w:rFonts w:ascii="Sylfaen" w:hAnsi="Sylfaen" w:cstheme="minorHAnsi"/>
                <w:bCs/>
                <w:noProof/>
              </w:rPr>
            </w:pPr>
            <w:r w:rsidRPr="00E44C4A">
              <w:rPr>
                <w:rFonts w:ascii="Sylfaen" w:hAnsi="Sylfaen" w:cstheme="minorHAnsi"/>
                <w:bCs/>
                <w:noProof/>
              </w:rPr>
              <w:t>9</w:t>
            </w:r>
          </w:p>
        </w:tc>
        <w:tc>
          <w:tcPr>
            <w:tcW w:w="2443" w:type="pct"/>
          </w:tcPr>
          <w:p w:rsidR="00807BBE" w:rsidRPr="00E44C4A" w:rsidRDefault="00807BBE" w:rsidP="00807BBE">
            <w:pPr>
              <w:tabs>
                <w:tab w:val="left" w:pos="0"/>
              </w:tabs>
              <w:spacing w:line="276" w:lineRule="auto"/>
              <w:jc w:val="both"/>
              <w:rPr>
                <w:rFonts w:ascii="Sylfaen" w:hAnsi="Sylfaen" w:cstheme="minorHAnsi"/>
                <w:b/>
                <w:bCs/>
                <w:i/>
                <w:noProof/>
              </w:rPr>
            </w:pPr>
            <w:r w:rsidRPr="00E44C4A">
              <w:rPr>
                <w:rFonts w:ascii="Sylfaen" w:hAnsi="Sylfaen" w:cstheme="minorHAnsi"/>
                <w:bCs/>
                <w:noProof/>
              </w:rPr>
              <w:t xml:space="preserve">საქართველოს მთავრობა გამოთქვამს მზადყოფნას ბიუჯეტის პროგრამული ფორმატის შემდგომი დახვეწისა და გაუმჯობესების მიმართულებით. თუმცა, აღნიშნავს, რომ საკითხის კომპლექსურობიდან გამომდინარე, საჭიროა მხარჯავი დაწესებულებების მეტი ძალისხმევა და შესაბამისი რესურსები. მნიშვნელოვანია, </w:t>
            </w:r>
            <w:r w:rsidRPr="00E44C4A">
              <w:rPr>
                <w:rFonts w:ascii="Sylfaen" w:hAnsi="Sylfaen" w:cstheme="minorHAnsi"/>
                <w:b/>
                <w:bCs/>
                <w:i/>
                <w:noProof/>
              </w:rPr>
              <w:t>საქართველოს მთავრობამ გააქტიუროს მუშაობა</w:t>
            </w:r>
          </w:p>
          <w:p w:rsidR="00807BBE" w:rsidRPr="00E44C4A" w:rsidRDefault="00807BBE" w:rsidP="00807BBE">
            <w:pPr>
              <w:tabs>
                <w:tab w:val="left" w:pos="0"/>
              </w:tabs>
              <w:spacing w:line="276" w:lineRule="auto"/>
              <w:jc w:val="both"/>
              <w:rPr>
                <w:rFonts w:ascii="Sylfaen" w:hAnsi="Sylfaen" w:cstheme="minorHAnsi"/>
                <w:b/>
                <w:bCs/>
                <w:i/>
                <w:noProof/>
              </w:rPr>
            </w:pPr>
            <w:r w:rsidRPr="00E44C4A">
              <w:rPr>
                <w:rFonts w:ascii="Sylfaen" w:hAnsi="Sylfaen" w:cstheme="minorHAnsi"/>
                <w:b/>
                <w:bCs/>
                <w:i/>
                <w:noProof/>
              </w:rPr>
              <w:t>მხარჯავ დაწესებულებებთან პროგრამული ფორმატით ბიუჯეტის</w:t>
            </w:r>
          </w:p>
          <w:p w:rsidR="00C64D86" w:rsidRPr="00E44C4A" w:rsidRDefault="00807BBE" w:rsidP="00807BBE">
            <w:pPr>
              <w:tabs>
                <w:tab w:val="left" w:pos="0"/>
              </w:tabs>
              <w:spacing w:line="276" w:lineRule="auto"/>
              <w:jc w:val="both"/>
              <w:rPr>
                <w:rFonts w:ascii="Sylfaen" w:hAnsi="Sylfaen" w:cstheme="minorHAnsi"/>
                <w:bCs/>
                <w:noProof/>
                <w:lang w:val="ka-GE"/>
              </w:rPr>
            </w:pPr>
            <w:r w:rsidRPr="00E44C4A">
              <w:rPr>
                <w:rFonts w:ascii="Sylfaen" w:hAnsi="Sylfaen" w:cstheme="minorHAnsi"/>
                <w:b/>
                <w:bCs/>
                <w:i/>
                <w:noProof/>
              </w:rPr>
              <w:t>დაგეგმვის სრულყოფის მიმართულებით</w:t>
            </w:r>
            <w:r w:rsidR="00E44C4A" w:rsidRPr="00E44C4A">
              <w:rPr>
                <w:rFonts w:ascii="Sylfaen" w:hAnsi="Sylfaen" w:cstheme="minorHAnsi"/>
                <w:b/>
                <w:bCs/>
                <w:i/>
                <w:noProof/>
                <w:lang w:val="ka-GE"/>
              </w:rPr>
              <w:t>;</w:t>
            </w:r>
          </w:p>
        </w:tc>
        <w:tc>
          <w:tcPr>
            <w:tcW w:w="2402" w:type="pct"/>
          </w:tcPr>
          <w:p w:rsidR="00C64D86" w:rsidRPr="00E44C4A" w:rsidRDefault="00D24E2C" w:rsidP="003D08BF">
            <w:pPr>
              <w:tabs>
                <w:tab w:val="left" w:pos="0"/>
              </w:tabs>
              <w:spacing w:line="276" w:lineRule="auto"/>
              <w:jc w:val="both"/>
              <w:rPr>
                <w:rFonts w:ascii="Sylfaen" w:hAnsi="Sylfaen" w:cstheme="minorHAnsi"/>
                <w:bCs/>
                <w:noProof/>
              </w:rPr>
            </w:pPr>
            <w:r>
              <w:rPr>
                <w:rFonts w:ascii="Sylfaen" w:hAnsi="Sylfaen" w:cstheme="minorHAnsi"/>
                <w:lang w:val="ka-GE"/>
              </w:rPr>
              <w:t>საკითხის კომპლექსურობიდან გამომდინარე, პროგრამული ბიუჯეტირების სრულყოფილად დანერგვა საჭიროებს მხარჯავი დაწესებულებების მეტ ძალისხმევას და შესაბამის რესურსებს. ამასთან, შიდა ფინანსური კონტროლის რეფორმის დანერგვა ხელს შეუწყობს პროგრამული ბიუჯეტირების შემდგომ დახვეწას.</w:t>
            </w:r>
          </w:p>
        </w:tc>
      </w:tr>
      <w:tr w:rsidR="00C64D86" w:rsidRPr="00E44C4A" w:rsidTr="003E05A6">
        <w:tc>
          <w:tcPr>
            <w:tcW w:w="155" w:type="pct"/>
            <w:vAlign w:val="center"/>
          </w:tcPr>
          <w:p w:rsidR="00C64D86" w:rsidRPr="00E44C4A" w:rsidRDefault="00807BBE" w:rsidP="003D08BF">
            <w:pPr>
              <w:tabs>
                <w:tab w:val="left" w:pos="0"/>
              </w:tabs>
              <w:spacing w:line="276" w:lineRule="auto"/>
              <w:jc w:val="both"/>
              <w:rPr>
                <w:rFonts w:ascii="Sylfaen" w:hAnsi="Sylfaen" w:cstheme="minorHAnsi"/>
                <w:bCs/>
                <w:noProof/>
              </w:rPr>
            </w:pPr>
            <w:r w:rsidRPr="00E44C4A">
              <w:rPr>
                <w:rFonts w:ascii="Sylfaen" w:hAnsi="Sylfaen" w:cstheme="minorHAnsi"/>
                <w:bCs/>
                <w:noProof/>
              </w:rPr>
              <w:t>10</w:t>
            </w:r>
          </w:p>
        </w:tc>
        <w:tc>
          <w:tcPr>
            <w:tcW w:w="2443" w:type="pct"/>
          </w:tcPr>
          <w:p w:rsidR="00C64D86" w:rsidRPr="00E44C4A" w:rsidRDefault="00807BBE" w:rsidP="00E44C4A">
            <w:pPr>
              <w:tabs>
                <w:tab w:val="left" w:pos="0"/>
              </w:tabs>
              <w:spacing w:line="276" w:lineRule="auto"/>
              <w:jc w:val="both"/>
              <w:rPr>
                <w:rFonts w:ascii="Sylfaen" w:hAnsi="Sylfaen" w:cstheme="minorHAnsi"/>
                <w:bCs/>
                <w:noProof/>
                <w:lang w:val="ka-GE"/>
              </w:rPr>
            </w:pPr>
            <w:r w:rsidRPr="00E44C4A">
              <w:rPr>
                <w:rFonts w:ascii="Sylfaen" w:hAnsi="Sylfaen" w:cstheme="minorHAnsi"/>
                <w:bCs/>
                <w:noProof/>
              </w:rPr>
              <w:t xml:space="preserve">საქართველოს მთავრობა ეთანხმება კანონპროექტზე თანდართულ </w:t>
            </w:r>
            <w:r w:rsidRPr="00E44C4A">
              <w:rPr>
                <w:rFonts w:ascii="Sylfaen" w:hAnsi="Sylfaen" w:cstheme="minorHAnsi"/>
                <w:b/>
                <w:bCs/>
                <w:i/>
                <w:noProof/>
              </w:rPr>
              <w:t xml:space="preserve">„ვალის მდგრადობის ანალიზის“ დოკუმენტთან დაკავშირებით </w:t>
            </w:r>
            <w:r w:rsidRPr="00E44C4A">
              <w:rPr>
                <w:rFonts w:ascii="Sylfaen" w:hAnsi="Sylfaen" w:cstheme="minorHAnsi"/>
                <w:b/>
                <w:bCs/>
                <w:i/>
                <w:noProof/>
              </w:rPr>
              <w:lastRenderedPageBreak/>
              <w:t>საქართველოს პარლამენტის რეკომენდაციას რომ კანონპროექტის საბოლოო ვერსიაში ასახული იქნება სამთავრობო სექტორად კლასიფიცირებული სახელმწიფო საწარმოების ვალდებულებები ვალის მდგრადობის ანალიზში,</w:t>
            </w:r>
            <w:r w:rsidRPr="00E44C4A">
              <w:rPr>
                <w:rFonts w:ascii="Sylfaen" w:hAnsi="Sylfaen" w:cstheme="minorHAnsi"/>
                <w:bCs/>
                <w:noProof/>
              </w:rPr>
              <w:t xml:space="preserve"> რაც ძალიან მნიშვნელოვანია</w:t>
            </w:r>
            <w:r w:rsidR="00E44C4A" w:rsidRPr="00E44C4A">
              <w:rPr>
                <w:rFonts w:ascii="Sylfaen" w:hAnsi="Sylfaen" w:cstheme="minorHAnsi"/>
                <w:bCs/>
                <w:noProof/>
                <w:lang w:val="ka-GE"/>
              </w:rPr>
              <w:t>.</w:t>
            </w:r>
          </w:p>
        </w:tc>
        <w:tc>
          <w:tcPr>
            <w:tcW w:w="2402" w:type="pct"/>
          </w:tcPr>
          <w:p w:rsidR="00D24E2C" w:rsidRPr="00D358A0" w:rsidRDefault="00D24E2C" w:rsidP="00D24E2C">
            <w:pPr>
              <w:spacing w:line="276" w:lineRule="auto"/>
              <w:jc w:val="both"/>
              <w:rPr>
                <w:rFonts w:ascii="Sylfaen" w:hAnsi="Sylfaen" w:cstheme="minorHAnsi"/>
                <w:lang w:val="ka-GE"/>
              </w:rPr>
            </w:pPr>
            <w:r>
              <w:rPr>
                <w:rFonts w:ascii="Sylfaen" w:hAnsi="Sylfaen" w:cstheme="minorHAnsi"/>
                <w:lang w:val="ka-GE"/>
              </w:rPr>
              <w:lastRenderedPageBreak/>
              <w:t xml:space="preserve">სახელმწიფო საწარმოების რეფორმის ფარგლებში გრძელდება მუშაობა </w:t>
            </w:r>
            <w:r w:rsidRPr="00D358A0">
              <w:rPr>
                <w:rFonts w:ascii="Sylfaen" w:hAnsi="Sylfaen" w:cstheme="minorHAnsi"/>
                <w:lang w:val="ka-GE"/>
              </w:rPr>
              <w:t xml:space="preserve">სამთავრობო სექტორად კლასიფიცირებული </w:t>
            </w:r>
            <w:r w:rsidRPr="00D358A0">
              <w:rPr>
                <w:rFonts w:ascii="Sylfaen" w:hAnsi="Sylfaen" w:cstheme="minorHAnsi"/>
                <w:lang w:val="ka-GE"/>
              </w:rPr>
              <w:lastRenderedPageBreak/>
              <w:t>სახელმწიფო საწარმოების</w:t>
            </w:r>
            <w:r>
              <w:rPr>
                <w:rFonts w:ascii="Sylfaen" w:hAnsi="Sylfaen" w:cstheme="minorHAnsi"/>
                <w:lang w:val="ka-GE"/>
              </w:rPr>
              <w:t xml:space="preserve"> ოპერაციების და ფინანსური მონაცემების საჯარო ფინანსების მართვის ინსტრუმენტებში ინტეგრირების მიზნით. ამ ეტაპზე „ვალის მდგრადობის ანალიზი“ ითვალისწინებს </w:t>
            </w:r>
            <w:r w:rsidR="00071E9B">
              <w:rPr>
                <w:rFonts w:ascii="Sylfaen" w:hAnsi="Sylfaen" w:cstheme="minorHAnsi"/>
                <w:lang w:val="ka-GE"/>
              </w:rPr>
              <w:t xml:space="preserve">სახელმწიფო საწარმოების ეფექტს, </w:t>
            </w:r>
            <w:r>
              <w:rPr>
                <w:rFonts w:ascii="Sylfaen" w:hAnsi="Sylfaen" w:cstheme="minorHAnsi"/>
                <w:lang w:val="ka-GE"/>
              </w:rPr>
              <w:t xml:space="preserve">აგრეგირებულ </w:t>
            </w:r>
            <w:r w:rsidR="00071E9B">
              <w:rPr>
                <w:rFonts w:ascii="Sylfaen" w:hAnsi="Sylfaen" w:cstheme="minorHAnsi"/>
                <w:lang w:val="ka-GE"/>
              </w:rPr>
              <w:t xml:space="preserve">მონაცემებში, ხოლო </w:t>
            </w:r>
            <w:r w:rsidRPr="00D358A0">
              <w:rPr>
                <w:rFonts w:ascii="Sylfaen" w:hAnsi="Sylfaen" w:cstheme="minorHAnsi"/>
                <w:lang w:val="ka-GE"/>
              </w:rPr>
              <w:t>ვალის მდგრადობის ანალიზში</w:t>
            </w:r>
            <w:r>
              <w:rPr>
                <w:rFonts w:ascii="Sylfaen" w:hAnsi="Sylfaen" w:cstheme="minorHAnsi"/>
                <w:lang w:val="ka-GE"/>
              </w:rPr>
              <w:t xml:space="preserve"> მეტი დეტალიზაციის წარმოდგენის თაობაზე</w:t>
            </w:r>
            <w:r w:rsidR="00071E9B">
              <w:rPr>
                <w:rFonts w:ascii="Sylfaen" w:hAnsi="Sylfaen" w:cstheme="minorHAnsi"/>
                <w:lang w:val="ka-GE"/>
              </w:rPr>
              <w:t xml:space="preserve"> გაგრძელდება მუშაობა</w:t>
            </w:r>
            <w:r w:rsidRPr="00D358A0">
              <w:rPr>
                <w:rFonts w:ascii="Sylfaen" w:hAnsi="Sylfaen" w:cstheme="minorHAnsi"/>
                <w:lang w:val="ka-GE"/>
              </w:rPr>
              <w:t>.</w:t>
            </w:r>
          </w:p>
          <w:p w:rsidR="00C64D86" w:rsidRPr="00E44C4A" w:rsidRDefault="00C64D86" w:rsidP="003D08BF">
            <w:pPr>
              <w:tabs>
                <w:tab w:val="left" w:pos="0"/>
              </w:tabs>
              <w:spacing w:line="276" w:lineRule="auto"/>
              <w:jc w:val="both"/>
              <w:rPr>
                <w:rFonts w:ascii="Sylfaen" w:hAnsi="Sylfaen" w:cstheme="minorHAnsi"/>
                <w:bCs/>
                <w:noProof/>
              </w:rPr>
            </w:pPr>
          </w:p>
        </w:tc>
      </w:tr>
    </w:tbl>
    <w:p w:rsidR="000B509C" w:rsidRPr="00E44C4A" w:rsidRDefault="000B509C" w:rsidP="003D08BF">
      <w:pPr>
        <w:tabs>
          <w:tab w:val="left" w:pos="0"/>
        </w:tabs>
        <w:spacing w:after="0" w:line="276" w:lineRule="auto"/>
        <w:jc w:val="both"/>
        <w:rPr>
          <w:rFonts w:ascii="Sylfaen" w:hAnsi="Sylfaen" w:cstheme="minorHAnsi"/>
          <w:bCs/>
          <w:noProof/>
        </w:rPr>
      </w:pPr>
    </w:p>
    <w:sectPr w:rsidR="000B509C" w:rsidRPr="00E44C4A" w:rsidSect="00336E24">
      <w:footerReference w:type="default" r:id="rId8"/>
      <w:pgSz w:w="15840" w:h="12240" w:orient="landscape"/>
      <w:pgMar w:top="81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3E8" w:rsidRDefault="009F73E8" w:rsidP="00611267">
      <w:pPr>
        <w:spacing w:after="0" w:line="240" w:lineRule="auto"/>
      </w:pPr>
      <w:r>
        <w:separator/>
      </w:r>
    </w:p>
  </w:endnote>
  <w:endnote w:type="continuationSeparator" w:id="0">
    <w:p w:rsidR="009F73E8" w:rsidRDefault="009F73E8" w:rsidP="0061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302646994"/>
      <w:docPartObj>
        <w:docPartGallery w:val="Page Numbers (Bottom of Page)"/>
        <w:docPartUnique/>
      </w:docPartObj>
    </w:sdtPr>
    <w:sdtEndPr>
      <w:rPr>
        <w:noProof/>
      </w:rPr>
    </w:sdtEndPr>
    <w:sdtContent>
      <w:p w:rsidR="00336E24" w:rsidRPr="00B377D7" w:rsidRDefault="00336E24">
        <w:pPr>
          <w:pStyle w:val="Footer"/>
          <w:jc w:val="right"/>
          <w:rPr>
            <w:sz w:val="20"/>
          </w:rPr>
        </w:pPr>
        <w:r w:rsidRPr="00B377D7">
          <w:rPr>
            <w:sz w:val="20"/>
          </w:rPr>
          <w:fldChar w:fldCharType="begin"/>
        </w:r>
        <w:r w:rsidRPr="00B377D7">
          <w:rPr>
            <w:sz w:val="20"/>
          </w:rPr>
          <w:instrText xml:space="preserve"> PAGE   \* MERGEFORMAT </w:instrText>
        </w:r>
        <w:r w:rsidRPr="00B377D7">
          <w:rPr>
            <w:sz w:val="20"/>
          </w:rPr>
          <w:fldChar w:fldCharType="separate"/>
        </w:r>
        <w:r w:rsidR="00B075EB">
          <w:rPr>
            <w:noProof/>
            <w:sz w:val="20"/>
          </w:rPr>
          <w:t>3</w:t>
        </w:r>
        <w:r w:rsidRPr="00B377D7">
          <w:rPr>
            <w:noProof/>
            <w:sz w:val="20"/>
          </w:rPr>
          <w:fldChar w:fldCharType="end"/>
        </w:r>
      </w:p>
    </w:sdtContent>
  </w:sdt>
  <w:p w:rsidR="00336E24" w:rsidRPr="00336E24" w:rsidRDefault="00336E24">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3E8" w:rsidRDefault="009F73E8" w:rsidP="00611267">
      <w:pPr>
        <w:spacing w:after="0" w:line="240" w:lineRule="auto"/>
      </w:pPr>
      <w:r>
        <w:separator/>
      </w:r>
    </w:p>
  </w:footnote>
  <w:footnote w:type="continuationSeparator" w:id="0">
    <w:p w:rsidR="009F73E8" w:rsidRDefault="009F73E8" w:rsidP="00611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41F"/>
    <w:multiLevelType w:val="hybridMultilevel"/>
    <w:tmpl w:val="54583B4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FBD537E"/>
    <w:multiLevelType w:val="hybridMultilevel"/>
    <w:tmpl w:val="B4AA85FA"/>
    <w:lvl w:ilvl="0" w:tplc="53EAB4CE">
      <w:start w:val="1"/>
      <w:numFmt w:val="decimal"/>
      <w:lvlText w:val="%1."/>
      <w:lvlJc w:val="left"/>
      <w:pPr>
        <w:ind w:left="99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CA"/>
    <w:rsid w:val="000041C3"/>
    <w:rsid w:val="000415AF"/>
    <w:rsid w:val="00071E9B"/>
    <w:rsid w:val="0009602F"/>
    <w:rsid w:val="00097667"/>
    <w:rsid w:val="000B509C"/>
    <w:rsid w:val="000E761E"/>
    <w:rsid w:val="00101436"/>
    <w:rsid w:val="001217BE"/>
    <w:rsid w:val="00136CD2"/>
    <w:rsid w:val="00137403"/>
    <w:rsid w:val="00154A2A"/>
    <w:rsid w:val="001A210E"/>
    <w:rsid w:val="001B04FD"/>
    <w:rsid w:val="001B6069"/>
    <w:rsid w:val="002019AE"/>
    <w:rsid w:val="00266E3F"/>
    <w:rsid w:val="00276189"/>
    <w:rsid w:val="002809C9"/>
    <w:rsid w:val="002877DA"/>
    <w:rsid w:val="002A2E48"/>
    <w:rsid w:val="002C3BE0"/>
    <w:rsid w:val="002D3596"/>
    <w:rsid w:val="00306ECF"/>
    <w:rsid w:val="00336E24"/>
    <w:rsid w:val="00363AE5"/>
    <w:rsid w:val="0036442B"/>
    <w:rsid w:val="003B02D2"/>
    <w:rsid w:val="003D08BF"/>
    <w:rsid w:val="003E05A6"/>
    <w:rsid w:val="00481EC2"/>
    <w:rsid w:val="00495113"/>
    <w:rsid w:val="004E533C"/>
    <w:rsid w:val="00570817"/>
    <w:rsid w:val="005D556B"/>
    <w:rsid w:val="00611267"/>
    <w:rsid w:val="00624652"/>
    <w:rsid w:val="006443DE"/>
    <w:rsid w:val="00644D87"/>
    <w:rsid w:val="006E03CA"/>
    <w:rsid w:val="00703AB2"/>
    <w:rsid w:val="00726434"/>
    <w:rsid w:val="00784197"/>
    <w:rsid w:val="00806ACD"/>
    <w:rsid w:val="00807BBE"/>
    <w:rsid w:val="00814F1E"/>
    <w:rsid w:val="00847443"/>
    <w:rsid w:val="008C4765"/>
    <w:rsid w:val="008D317F"/>
    <w:rsid w:val="00903068"/>
    <w:rsid w:val="00947DBA"/>
    <w:rsid w:val="00962707"/>
    <w:rsid w:val="00970B11"/>
    <w:rsid w:val="009A414B"/>
    <w:rsid w:val="009B6A18"/>
    <w:rsid w:val="009C7A57"/>
    <w:rsid w:val="009D3FF6"/>
    <w:rsid w:val="009F73E8"/>
    <w:rsid w:val="00A56CA0"/>
    <w:rsid w:val="00A6313A"/>
    <w:rsid w:val="00AA2172"/>
    <w:rsid w:val="00AB62D0"/>
    <w:rsid w:val="00AF7BC4"/>
    <w:rsid w:val="00B075EB"/>
    <w:rsid w:val="00B377D7"/>
    <w:rsid w:val="00B81507"/>
    <w:rsid w:val="00C11975"/>
    <w:rsid w:val="00C53E9E"/>
    <w:rsid w:val="00C64D86"/>
    <w:rsid w:val="00CF6B48"/>
    <w:rsid w:val="00CF7F1F"/>
    <w:rsid w:val="00D24E2C"/>
    <w:rsid w:val="00D25C37"/>
    <w:rsid w:val="00DB6FAB"/>
    <w:rsid w:val="00DE6FDD"/>
    <w:rsid w:val="00E27B6D"/>
    <w:rsid w:val="00E44C4A"/>
    <w:rsid w:val="00E769BF"/>
    <w:rsid w:val="00ED0CD9"/>
    <w:rsid w:val="00ED173B"/>
    <w:rsid w:val="00F14744"/>
    <w:rsid w:val="00F9293F"/>
    <w:rsid w:val="00FA24EB"/>
    <w:rsid w:val="00FA7E90"/>
    <w:rsid w:val="00FB6E17"/>
    <w:rsid w:val="00FC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3D3C"/>
  <w15:chartTrackingRefBased/>
  <w15:docId w15:val="{41185514-FBB2-42A1-8ACA-369EF6C2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Bullet1"/>
    <w:basedOn w:val="Normal"/>
    <w:link w:val="ListParagraphChar"/>
    <w:uiPriority w:val="34"/>
    <w:qFormat/>
    <w:rsid w:val="00611267"/>
    <w:pPr>
      <w:spacing w:after="200" w:line="276" w:lineRule="auto"/>
      <w:ind w:left="720"/>
      <w:contextualSpacing/>
    </w:pPr>
    <w:rPr>
      <w:rFonts w:eastAsiaTheme="minorEastAsia"/>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link w:val="ListParagraph"/>
    <w:uiPriority w:val="34"/>
    <w:qFormat/>
    <w:locked/>
    <w:rsid w:val="00611267"/>
    <w:rPr>
      <w:rFonts w:eastAsiaTheme="minorEastAsia"/>
    </w:rPr>
  </w:style>
  <w:style w:type="paragraph" w:styleId="FootnoteText">
    <w:name w:val="footnote text"/>
    <w:basedOn w:val="Normal"/>
    <w:link w:val="FootnoteTextChar"/>
    <w:uiPriority w:val="99"/>
    <w:semiHidden/>
    <w:unhideWhenUsed/>
    <w:rsid w:val="006112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267"/>
    <w:rPr>
      <w:sz w:val="20"/>
      <w:szCs w:val="20"/>
    </w:rPr>
  </w:style>
  <w:style w:type="character" w:styleId="FootnoteReference">
    <w:name w:val="footnote reference"/>
    <w:basedOn w:val="DefaultParagraphFont"/>
    <w:uiPriority w:val="99"/>
    <w:semiHidden/>
    <w:unhideWhenUsed/>
    <w:rsid w:val="00611267"/>
    <w:rPr>
      <w:vertAlign w:val="superscript"/>
    </w:rPr>
  </w:style>
  <w:style w:type="character" w:styleId="Hyperlink">
    <w:name w:val="Hyperlink"/>
    <w:basedOn w:val="DefaultParagraphFont"/>
    <w:uiPriority w:val="99"/>
    <w:semiHidden/>
    <w:unhideWhenUsed/>
    <w:rsid w:val="00336E24"/>
    <w:rPr>
      <w:color w:val="0000FF"/>
      <w:u w:val="single"/>
    </w:rPr>
  </w:style>
  <w:style w:type="paragraph" w:styleId="Header">
    <w:name w:val="header"/>
    <w:basedOn w:val="Normal"/>
    <w:link w:val="HeaderChar"/>
    <w:uiPriority w:val="99"/>
    <w:unhideWhenUsed/>
    <w:rsid w:val="00336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E24"/>
  </w:style>
  <w:style w:type="paragraph" w:styleId="Footer">
    <w:name w:val="footer"/>
    <w:basedOn w:val="Normal"/>
    <w:link w:val="FooterChar"/>
    <w:uiPriority w:val="99"/>
    <w:unhideWhenUsed/>
    <w:rsid w:val="00336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E24"/>
  </w:style>
  <w:style w:type="paragraph" w:styleId="BalloonText">
    <w:name w:val="Balloon Text"/>
    <w:basedOn w:val="Normal"/>
    <w:link w:val="BalloonTextChar"/>
    <w:uiPriority w:val="99"/>
    <w:semiHidden/>
    <w:unhideWhenUsed/>
    <w:rsid w:val="00336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E24"/>
    <w:rPr>
      <w:rFonts w:ascii="Segoe UI" w:hAnsi="Segoe UI" w:cs="Segoe UI"/>
      <w:sz w:val="18"/>
      <w:szCs w:val="18"/>
    </w:rPr>
  </w:style>
  <w:style w:type="paragraph" w:customStyle="1" w:styleId="Normal0">
    <w:name w:val="[Normal]"/>
    <w:uiPriority w:val="99"/>
    <w:rsid w:val="00F14744"/>
    <w:pPr>
      <w:autoSpaceDE w:val="0"/>
      <w:autoSpaceDN w:val="0"/>
      <w:adjustRightInd w:val="0"/>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FDB2F-D321-4D6B-86A1-CF5214A5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Inga Gurgenidze</cp:lastModifiedBy>
  <cp:revision>4</cp:revision>
  <cp:lastPrinted>2021-11-29T15:53:00Z</cp:lastPrinted>
  <dcterms:created xsi:type="dcterms:W3CDTF">2021-11-22T08:21:00Z</dcterms:created>
  <dcterms:modified xsi:type="dcterms:W3CDTF">2021-11-29T16:08:00Z</dcterms:modified>
</cp:coreProperties>
</file>